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烈士纪念设施维修改造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  <w:bookmarkStart w:id="10" w:name="_GoBack"/>
      <w:bookmarkEnd w:id="10"/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根据《零散烈士纪念设施抢救保护项目的通知》要求，通过预算按照地方财政部门按属地管理、责任明确、分级负担的原则，对泽州县管辖内的零散烈士纪念设施进行建设维修进行了预算，及时、足额将零散烈士纪念设施抢救保护工作经费纳入财政预算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项目负责人：张宗仁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联系人：李广林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b w:val="0"/>
          <w:bCs w:val="0"/>
          <w:szCs w:val="28"/>
        </w:rPr>
        <w:t>14735605825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项目存在的主要问题：制度宣传力度不大。有的制度出台后没有及时进行宣传和组织学习教育活动，导致广大干部群众不熟悉、不了解，制度的普及率、知晓率较低，对制度的执行主体缺少监督和约束；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：80万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：80万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：99.85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5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5393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社会群众的满意度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对我县19处零散纪念设施维修改造的完成率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对我县零散纪念设施维修改造的数量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发扬革命传统教育：烈士纪念设施维修经费投入后，烈士纪念设施外貌焕然一新，许多学校、企事业单位把革命烈士纪念设施作为爱国主义教育、革命传统教育和社会主义核心价值观教育基地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对零散纪念设施维修改造的时间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加强烈士纪念设施维修保护，营造尊崇英烈铭记功勋的浓厚社会氛围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对项目决策的建议：</w:t>
      </w:r>
      <w:r>
        <w:rPr>
          <w:rFonts w:hint="eastAsia"/>
          <w:b w:val="0"/>
        </w:rPr>
        <w:t>在项目决策之前要出台一定的项目制度，及时进行宣传和组织学习教育活动。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对预算安排与执行的建议：</w:t>
      </w:r>
      <w:r>
        <w:rPr>
          <w:rFonts w:hint="eastAsia"/>
          <w:b w:val="0"/>
        </w:rPr>
        <w:t>制度执行意识不强。对于如何有效的执行制度不够重视，似乎制度建好了就大功告成，使之束之高阁。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对资金管理的建议：</w:t>
      </w:r>
      <w:r>
        <w:rPr>
          <w:rFonts w:hint="eastAsia"/>
          <w:b w:val="0"/>
        </w:rPr>
        <w:t>进一步改进项目资金监督方式 ，强化内在制约机制。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对项目管理的建议：</w:t>
      </w:r>
      <w:r>
        <w:rPr>
          <w:rFonts w:hint="eastAsia"/>
          <w:b w:val="0"/>
        </w:rPr>
        <w:t>加强项目管理申报前的前期工作，建好本级项目库。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其它：</w:t>
      </w:r>
      <w:r>
        <w:rPr>
          <w:rFonts w:hint="eastAsia"/>
          <w:b w:val="0"/>
        </w:rPr>
        <w:t>无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备注：</w:t>
      </w:r>
      <w:r>
        <w:rPr>
          <w:rFonts w:hint="eastAsia"/>
          <w:b w:val="0"/>
        </w:rPr>
        <w:t>无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267B7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236F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1046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084504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qFormat/>
    <w:uiPriority w:val="99"/>
    <w:rPr>
      <w:sz w:val="18"/>
      <w:szCs w:val="18"/>
    </w:rPr>
  </w:style>
  <w:style w:type="character" w:customStyle="1" w:styleId="42">
    <w:name w:val="批注主题 Char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3</Pages>
  <Words>746</Words>
  <Characters>796</Characters>
  <Lines>6</Lines>
  <Paragraphs>1</Paragraphs>
  <TotalTime>20</TotalTime>
  <ScaleCrop>false</ScaleCrop>
  <LinksUpToDate>false</LinksUpToDate>
  <CharactersWithSpaces>798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坚持</cp:lastModifiedBy>
  <cp:lastPrinted>2017-07-28T05:17:00Z</cp:lastPrinted>
  <dcterms:modified xsi:type="dcterms:W3CDTF">2022-04-08T10:20:59Z</dcterms:modified>
  <dc:title>上海市促进文化创意产业发展财政扶持资金浦东新区配套资金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0331A227ADFF4F6480878A6A103331E1</vt:lpwstr>
  </property>
</Properties>
</file>