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创建全国双拥模范县工作经费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1"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项目基本内容：认真贯彻落实党的十九大，十八届三中全会精神，特别是习近平总书记关于巩固和发展军政军民团结的指示要求，着眼推进军民融合深度发展，</w:t>
      </w:r>
      <w:r>
        <w:rPr>
          <w:rFonts w:hint="eastAsia"/>
          <w:b w:val="0"/>
          <w:bCs w:val="0"/>
          <w:szCs w:val="28"/>
          <w:lang w:val="en-US" w:eastAsia="zh-CN"/>
        </w:rPr>
        <w:t>始终</w:t>
      </w:r>
      <w:r>
        <w:rPr>
          <w:rFonts w:hint="eastAsia"/>
          <w:b w:val="0"/>
          <w:bCs w:val="0"/>
          <w:szCs w:val="28"/>
        </w:rPr>
        <w:t>践行群众路线、公平公正公开的工作要求，充分调动军地各级争创双拥模范的积极主动性，有效促进各项工作的落实，为全省命名表彰打下坚实基础。该项目资金主要用于通过检查双拥工作的宣传教育的广泛性、双拥工作的扎实性、政策法规的落实情况等方式来创建全国双拥模范县。宣传教育影像资料11万元。用于活动费10万元。办公耗材9万元。</w:t>
      </w:r>
    </w:p>
    <w:p>
      <w:pPr>
        <w:pStyle w:val="63"/>
        <w:spacing w:line="240" w:lineRule="auto"/>
        <w:ind w:left="560" w:firstLine="56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项目负责人：张宗仁</w:t>
      </w:r>
    </w:p>
    <w:p>
      <w:pPr>
        <w:pStyle w:val="63"/>
        <w:spacing w:line="240" w:lineRule="auto"/>
        <w:ind w:firstLine="1120" w:firstLineChars="40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联系人：吴彦刚</w:t>
      </w:r>
    </w:p>
    <w:p>
      <w:pPr>
        <w:pStyle w:val="63"/>
        <w:spacing w:line="240" w:lineRule="auto"/>
        <w:ind w:firstLine="1120" w:firstLineChars="40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联系电话：13834909121</w:t>
      </w:r>
    </w:p>
    <w:p>
      <w:pPr>
        <w:pStyle w:val="63"/>
        <w:spacing w:line="240" w:lineRule="auto"/>
        <w:ind w:firstLine="1120" w:firstLineChars="40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69"/>
        <w:ind w:left="561"/>
        <w:rPr>
          <w:lang w:val="en-US"/>
        </w:rPr>
      </w:pPr>
      <w:r>
        <w:rPr>
          <w:rFonts w:hint="eastAsia"/>
          <w:lang w:val="en-US"/>
        </w:rPr>
        <w:t>从项目的实施情况看，存在的主要不足表现为：没有客观的评估标准，公开、反馈等机制也不健全，使得执行制度更多的依赖于单位（部门）和干部的自觉性。有的监督检查仅仅是走马观花，做表面文章，发现不了问题。</w:t>
      </w:r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：30万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：30万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：99.85</w:t>
      </w:r>
    </w:p>
    <w:p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hint="eastAsia"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0"/>
        <w:rPr>
          <w:rFonts w:ascii="宋体" w:hAnsi="宋体" w:cs="宋体"/>
          <w:b w:val="0"/>
          <w:sz w:val="22"/>
          <w:highlight w:val="yellow"/>
          <w:lang w:val="en-US"/>
        </w:rPr>
      </w:pPr>
      <w:r>
        <w:rPr>
          <w:rFonts w:hint="eastAsia" w:ascii="宋体" w:hAnsi="宋体" w:cs="宋体"/>
          <w:b w:val="0"/>
          <w:sz w:val="22"/>
          <w:lang w:val="en-US"/>
        </w:rPr>
        <w:t>在实践工作中，坚持以双拥共建为突破口，创建行之有效的双拥共建工作新载体，以推动双拥共建工作及社区和谐建设的不断发展。一是创建“军民讲坛”。二是举办“军民影视文化节”。三是组建“军民义工服务队”积极主动的支持和关心社区、连队的全面建设，进一步巩固“同呼吸、共命运、心连心”的军政军民关系，在共建军地双方的共同努力下，各项建设都取得了可喜的成绩，在全社会形成更加浓厚的军爱民、民拥军、军民共建一条心的良好氛围。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8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880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600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88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开展双拥工作活动完成率</w:t>
            </w:r>
          </w:p>
        </w:tc>
        <w:tc>
          <w:tcPr>
            <w:tcW w:w="260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88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进行国防教育和以爱国拥军、爱民奉献为主要内容的双拥宣传数量</w:t>
            </w:r>
          </w:p>
        </w:tc>
        <w:tc>
          <w:tcPr>
            <w:tcW w:w="260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88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营造好军爱民、民拥军的良好氛围</w:t>
            </w:r>
          </w:p>
        </w:tc>
        <w:tc>
          <w:tcPr>
            <w:tcW w:w="260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88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军政军民关系满意度</w:t>
            </w:r>
          </w:p>
        </w:tc>
        <w:tc>
          <w:tcPr>
            <w:tcW w:w="260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88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开展双拥工作的时间</w:t>
            </w:r>
          </w:p>
        </w:tc>
        <w:tc>
          <w:tcPr>
            <w:tcW w:w="260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88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260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2"/>
        <w:gridCol w:w="1725"/>
        <w:gridCol w:w="1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32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1725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164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13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部队视驻地为故乡、视人民为亲人，同呼吸共命运心连心的军政军民关系</w:t>
            </w:r>
          </w:p>
        </w:tc>
        <w:tc>
          <w:tcPr>
            <w:tcW w:w="17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99%</w:t>
            </w:r>
          </w:p>
        </w:tc>
        <w:tc>
          <w:tcPr>
            <w:tcW w:w="164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398675340"/>
      <w:bookmarkStart w:id="6" w:name="_Toc490218269"/>
      <w:bookmarkStart w:id="7" w:name="_Toc488925447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ind w:left="983" w:leftChars="468"/>
        <w:rPr>
          <w:lang w:val="en-US"/>
        </w:rPr>
      </w:pPr>
      <w:r>
        <w:rPr>
          <w:rFonts w:hint="eastAsia"/>
          <w:lang w:val="en-US"/>
        </w:rPr>
        <w:t>加强项目监督引导。制定一定的管理制度，让项目决策得到有效实施。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ind w:left="982"/>
        <w:rPr>
          <w:lang w:val="en-US"/>
        </w:rPr>
      </w:pPr>
      <w:r>
        <w:rPr>
          <w:rFonts w:hint="eastAsia"/>
          <w:lang w:val="en-US"/>
        </w:rPr>
        <w:t>1、提高对预算编制重要性的认识；</w:t>
      </w:r>
    </w:p>
    <w:p>
      <w:pPr>
        <w:pStyle w:val="69"/>
        <w:ind w:left="982"/>
        <w:rPr>
          <w:lang w:val="en-US"/>
        </w:rPr>
      </w:pPr>
      <w:r>
        <w:rPr>
          <w:rFonts w:hint="eastAsia"/>
          <w:lang w:val="en-US"/>
        </w:rPr>
        <w:t>2、严格按照财政部门要求预算；</w:t>
      </w:r>
    </w:p>
    <w:p>
      <w:pPr>
        <w:pStyle w:val="69"/>
        <w:ind w:left="983" w:leftChars="468"/>
        <w:rPr>
          <w:lang w:val="en-US"/>
        </w:rPr>
      </w:pPr>
      <w:r>
        <w:rPr>
          <w:rFonts w:hint="eastAsia"/>
          <w:lang w:val="en-US"/>
        </w:rPr>
        <w:t>3、加强对部门预算执行情况的监督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ind w:left="982"/>
        <w:rPr>
          <w:lang w:val="en-US"/>
        </w:rPr>
      </w:pPr>
      <w:r>
        <w:rPr>
          <w:rFonts w:hint="eastAsia"/>
          <w:lang w:val="en-US"/>
        </w:rPr>
        <w:t>1、整合财政资金监督检查资源；</w:t>
      </w:r>
    </w:p>
    <w:p>
      <w:pPr>
        <w:pStyle w:val="69"/>
        <w:ind w:left="982"/>
        <w:rPr>
          <w:lang w:val="en-US"/>
        </w:rPr>
      </w:pPr>
      <w:r>
        <w:rPr>
          <w:rFonts w:hint="eastAsia"/>
          <w:lang w:val="en-US"/>
        </w:rPr>
        <w:t>2、建立的完善财政资金监督检查机制；</w:t>
      </w:r>
    </w:p>
    <w:p>
      <w:pPr>
        <w:pStyle w:val="69"/>
        <w:ind w:left="982"/>
        <w:rPr>
          <w:lang w:val="en-US"/>
        </w:rPr>
      </w:pPr>
      <w:r>
        <w:rPr>
          <w:rFonts w:hint="eastAsia"/>
          <w:lang w:val="en-US"/>
        </w:rPr>
        <w:t>3、不断加大财政资金检查力度；</w:t>
      </w:r>
    </w:p>
    <w:p>
      <w:pPr>
        <w:pStyle w:val="69"/>
        <w:ind w:left="983" w:leftChars="468"/>
        <w:rPr>
          <w:lang w:val="en-US"/>
        </w:rPr>
      </w:pPr>
      <w:r>
        <w:rPr>
          <w:rFonts w:hint="eastAsia"/>
          <w:lang w:val="en-US"/>
        </w:rPr>
        <w:t xml:space="preserve">4、建立广泛的社会监督机制。  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ind w:left="982"/>
        <w:rPr>
          <w:lang w:val="en-US"/>
        </w:rPr>
      </w:pPr>
      <w:r>
        <w:rPr>
          <w:rFonts w:hint="eastAsia"/>
          <w:lang w:val="en-US"/>
        </w:rPr>
        <w:t>1、探索绩效预算管理模式，建立追踪问</w:t>
      </w:r>
      <w:r>
        <w:rPr>
          <w:rFonts w:hint="eastAsia"/>
          <w:lang w:val="en-US" w:eastAsia="zh-CN"/>
        </w:rPr>
        <w:t>责</w:t>
      </w:r>
      <w:bookmarkStart w:id="10" w:name="_GoBack"/>
      <w:bookmarkEnd w:id="10"/>
      <w:r>
        <w:rPr>
          <w:rFonts w:hint="eastAsia"/>
          <w:lang w:val="en-US"/>
        </w:rPr>
        <w:t>机制；</w:t>
      </w:r>
    </w:p>
    <w:p>
      <w:pPr>
        <w:pStyle w:val="69"/>
        <w:ind w:left="982"/>
        <w:rPr>
          <w:lang w:val="en-US"/>
        </w:rPr>
      </w:pPr>
      <w:r>
        <w:rPr>
          <w:rFonts w:hint="eastAsia"/>
          <w:lang w:val="en-US"/>
        </w:rPr>
        <w:t>2、深化财政改革，完善参与式项目管理；</w:t>
      </w:r>
    </w:p>
    <w:p>
      <w:pPr>
        <w:pStyle w:val="69"/>
        <w:ind w:left="983" w:leftChars="468"/>
        <w:rPr>
          <w:lang w:val="en-US"/>
        </w:rPr>
      </w:pPr>
      <w:r>
        <w:rPr>
          <w:rFonts w:hint="eastAsia"/>
          <w:lang w:val="en-US"/>
        </w:rPr>
        <w:t>3、提高配置效率。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ind w:left="983" w:leftChars="468"/>
        <w:rPr>
          <w:lang w:val="en-US"/>
        </w:rPr>
      </w:pPr>
      <w:r>
        <w:rPr>
          <w:lang w:val="en-US"/>
        </w:rPr>
        <w:t>无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3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0YjAwMTVlYTE0NTNmZTFjODIyYzdmYzMyZTZlYzcifQ=="/>
  </w:docVars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17DD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0D14"/>
    <w:rsid w:val="0087330C"/>
    <w:rsid w:val="008736D2"/>
    <w:rsid w:val="00874083"/>
    <w:rsid w:val="008775E1"/>
    <w:rsid w:val="00877745"/>
    <w:rsid w:val="008809D2"/>
    <w:rsid w:val="00880F60"/>
    <w:rsid w:val="00882D7B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ADE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2FC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440D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AB7387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7532F7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B6787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CBA6E75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756E00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0B6B2F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Char1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Char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 Char"/>
    <w:link w:val="13"/>
    <w:qFormat/>
    <w:uiPriority w:val="99"/>
    <w:rPr>
      <w:sz w:val="18"/>
      <w:szCs w:val="18"/>
    </w:rPr>
  </w:style>
  <w:style w:type="character" w:customStyle="1" w:styleId="42">
    <w:name w:val="批注主题 Char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Char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Char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Char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 Char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Char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Char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Char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 Char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Char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D11BB-8806-024B-B71C-071929758C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Company>Sky123.Org</Company>
  <Pages>3</Pages>
  <Words>1074</Words>
  <Characters>1125</Characters>
  <Lines>1</Lines>
  <Paragraphs>2</Paragraphs>
  <TotalTime>22</TotalTime>
  <ScaleCrop>false</ScaleCrop>
  <LinksUpToDate>false</LinksUpToDate>
  <CharactersWithSpaces>1128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霖儿</cp:lastModifiedBy>
  <cp:lastPrinted>2017-07-28T05:17:00Z</cp:lastPrinted>
  <dcterms:modified xsi:type="dcterms:W3CDTF">2022-09-30T08:39:28Z</dcterms:modified>
  <dc:title>上海市促进文化创意产业发展财政扶持资金浦东新区配套资金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DFBAD449B9BA464AAA26DBE8F43264AB</vt:lpwstr>
  </property>
</Properties>
</file>