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大东沟镇西王庄村采煤沉陷区、便民服务中心、幼儿园等配套项目及辛壁村配套项目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项目基本内容：项目资金用于西王庄，辛壁村村民便民服务中心、幼儿园、道路、挡土墙及广场采煤沉陷区治理配套设施建设</w:t>
      </w:r>
    </w:p>
    <w:p>
      <w:pPr>
        <w:pStyle w:val="63"/>
        <w:spacing w:line="240" w:lineRule="auto"/>
        <w:ind w:left="560" w:firstLine="0" w:firstLineChars="0"/>
        <w:jc w:val="both"/>
        <w:rPr>
          <w:rFonts w:hint="eastAsia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  <w:r>
        <w:rPr>
          <w:rFonts w:hint="eastAsia"/>
          <w:b w:val="0"/>
          <w:bCs w:val="0"/>
          <w:szCs w:val="28"/>
          <w:lang w:val="en-US" w:eastAsia="zh-CN"/>
        </w:rPr>
        <w:tab/>
        <w:t/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资金拨付与工程进度之间还存在一定时间差，一定程度影响工程进度。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300万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：300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：67.75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：合格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西王庄室内外装备维修完成率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搬迁小区环境改善度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87.50%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12.5%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资金拨付率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沉陷区治理村民满意度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398675340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要进一步完善和加强项目决策制度建设。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1、提高对预算编制的重要性认识；2、严格按照财政部门要求编制部门预算；3、加强对预算执行情况的监督。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提高预算精准率，合理支配，确保进度，进一步加强资金管理，确保专款专用。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  <w:bookmarkStart w:id="10" w:name="_GoBack"/>
      <w:bookmarkEnd w:id="1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8D5198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字符"/>
    <w:link w:val="13"/>
    <w:qFormat/>
    <w:uiPriority w:val="99"/>
    <w:rPr>
      <w:sz w:val="18"/>
      <w:szCs w:val="18"/>
    </w:rPr>
  </w:style>
  <w:style w:type="character" w:customStyle="1" w:styleId="42">
    <w:name w:val="批注主题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TotalTime>18</TotalTime>
  <ScaleCrop>false</ScaleCrop>
  <LinksUpToDate>false</LinksUpToDate>
  <CharactersWithSpaces>952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dgcz</cp:lastModifiedBy>
  <cp:lastPrinted>2017-07-28T05:17:00Z</cp:lastPrinted>
  <dcterms:modified xsi:type="dcterms:W3CDTF">2022-05-11T02:01:49Z</dcterms:modified>
  <dc:title>上海市促进文化创意产业发展财政扶持资金浦东新区配套资金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