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B349F">
      <w:pPr>
        <w:spacing w:before="143" w:line="629" w:lineRule="exact"/>
        <w:ind w:left="856"/>
        <w:jc w:val="center"/>
        <w:rPr>
          <w:rFonts w:hint="eastAsia" w:ascii="宋体" w:hAnsi="宋体" w:eastAsia="宋体" w:cs="宋体"/>
          <w:b/>
          <w:bCs/>
          <w:spacing w:val="-19"/>
          <w:position w:val="13"/>
          <w:sz w:val="44"/>
          <w:szCs w:val="44"/>
          <w:lang w:eastAsia="zh-CN"/>
        </w:rPr>
      </w:pPr>
    </w:p>
    <w:p w14:paraId="0981C1F9">
      <w:pPr>
        <w:spacing w:before="143" w:line="629" w:lineRule="exact"/>
        <w:ind w:left="856"/>
        <w:jc w:val="center"/>
        <w:rPr>
          <w:rFonts w:hint="eastAsia" w:ascii="宋体" w:hAnsi="宋体" w:eastAsia="宋体" w:cs="宋体"/>
          <w:b/>
          <w:bCs/>
          <w:spacing w:val="-19"/>
          <w:position w:val="13"/>
          <w:sz w:val="44"/>
          <w:szCs w:val="44"/>
          <w:lang w:eastAsia="zh-CN"/>
        </w:rPr>
      </w:pPr>
    </w:p>
    <w:p w14:paraId="5291E306">
      <w:pPr>
        <w:spacing w:before="143" w:line="629" w:lineRule="exact"/>
        <w:ind w:left="856"/>
        <w:jc w:val="center"/>
        <w:rPr>
          <w:rFonts w:hint="eastAsia" w:ascii="宋体" w:hAnsi="宋体" w:eastAsia="宋体" w:cs="宋体"/>
          <w:b/>
          <w:bCs/>
          <w:spacing w:val="-19"/>
          <w:position w:val="13"/>
          <w:sz w:val="44"/>
          <w:szCs w:val="44"/>
          <w:lang w:eastAsia="zh-CN"/>
        </w:rPr>
      </w:pPr>
    </w:p>
    <w:p w14:paraId="703C9998">
      <w:pPr>
        <w:widowControl w:val="0"/>
        <w:wordWrap/>
        <w:adjustRightInd/>
        <w:snapToGrid/>
        <w:spacing w:before="0" w:after="0" w:line="64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kern w:val="56"/>
          <w:sz w:val="32"/>
          <w:szCs w:val="32"/>
          <w:lang w:val="en-US" w:eastAsia="zh-CN"/>
        </w:rPr>
      </w:pPr>
    </w:p>
    <w:p w14:paraId="43859978">
      <w:pPr>
        <w:widowControl w:val="0"/>
        <w:wordWrap/>
        <w:adjustRightInd/>
        <w:snapToGrid/>
        <w:spacing w:before="0" w:after="0" w:line="640" w:lineRule="exac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kern w:val="56"/>
          <w:sz w:val="32"/>
          <w:szCs w:val="32"/>
          <w:lang w:val="en-US" w:eastAsia="zh-CN"/>
        </w:rPr>
      </w:pPr>
    </w:p>
    <w:p w14:paraId="2FBE5C56">
      <w:pPr>
        <w:widowControl w:val="0"/>
        <w:kinsoku w:val="0"/>
        <w:wordWrap/>
        <w:autoSpaceDE w:val="0"/>
        <w:autoSpaceDN w:val="0"/>
        <w:adjustRightInd/>
        <w:snapToGrid/>
        <w:spacing w:before="0" w:after="0" w:line="460" w:lineRule="atLeast"/>
        <w:ind w:right="0"/>
        <w:jc w:val="center"/>
        <w:textAlignment w:val="auto"/>
        <w:outlineLvl w:val="9"/>
        <w:rPr>
          <w:rFonts w:hint="eastAsia" w:ascii="仿宋_GB2312" w:hAnsi="仿宋_GB2312" w:eastAsia="仿宋_GB2312" w:cs="仿宋_GB2312"/>
          <w:kern w:val="5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56"/>
          <w:sz w:val="32"/>
          <w:szCs w:val="32"/>
          <w:lang w:val="en-US" w:eastAsia="zh-CN"/>
        </w:rPr>
        <w:t>泽教政字〔2026〕2号</w:t>
      </w:r>
    </w:p>
    <w:p w14:paraId="68C363AF">
      <w:pPr>
        <w:widowControl w:val="0"/>
        <w:kinsoku w:val="0"/>
        <w:wordWrap/>
        <w:autoSpaceDE w:val="0"/>
        <w:autoSpaceDN w:val="0"/>
        <w:adjustRightInd w:val="0"/>
        <w:snapToGrid w:val="0"/>
        <w:spacing w:line="700" w:lineRule="atLeast"/>
        <w:jc w:val="both"/>
        <w:textAlignment w:val="auto"/>
        <w:rPr>
          <w:rFonts w:hint="eastAsia" w:ascii="华文中宋" w:hAnsi="华文中宋" w:eastAsia="华文中宋" w:cs="华文中宋"/>
          <w:b/>
          <w:bCs/>
          <w:spacing w:val="-19"/>
          <w:position w:val="13"/>
          <w:sz w:val="44"/>
          <w:szCs w:val="44"/>
          <w:lang w:eastAsia="zh-CN"/>
        </w:rPr>
      </w:pPr>
    </w:p>
    <w:p w14:paraId="3C48EF35">
      <w:pPr>
        <w:widowControl w:val="0"/>
        <w:kinsoku w:val="0"/>
        <w:wordWrap/>
        <w:autoSpaceDE w:val="0"/>
        <w:autoSpaceDN w:val="0"/>
        <w:adjustRightInd w:val="0"/>
        <w:snapToGrid w:val="0"/>
        <w:spacing w:line="700" w:lineRule="atLeast"/>
        <w:jc w:val="both"/>
        <w:textAlignment w:val="auto"/>
        <w:rPr>
          <w:rFonts w:hint="eastAsia" w:ascii="华文中宋" w:hAnsi="华文中宋" w:eastAsia="华文中宋" w:cs="华文中宋"/>
          <w:b/>
          <w:bCs/>
          <w:spacing w:val="-19"/>
          <w:position w:val="13"/>
          <w:sz w:val="44"/>
          <w:szCs w:val="44"/>
          <w:lang w:eastAsia="zh-CN"/>
        </w:rPr>
      </w:pPr>
    </w:p>
    <w:p w14:paraId="2936A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泽州县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教育局</w:t>
      </w:r>
    </w:p>
    <w:p w14:paraId="717CF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2026年度行政检查计划</w:t>
      </w:r>
    </w:p>
    <w:p w14:paraId="2E103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为进一步规范办学行为，保障校园安全，落实“双随机、一公开”工作要求，全面提升教育治理规范化水平，根据《山西省行政执法条例》等相关法律法规规定，现制定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2026年度行政检查计划：</w:t>
      </w:r>
    </w:p>
    <w:tbl>
      <w:tblPr>
        <w:tblStyle w:val="8"/>
        <w:tblW w:w="9014" w:type="dxa"/>
        <w:tblInd w:w="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2172"/>
        <w:gridCol w:w="2708"/>
        <w:gridCol w:w="1547"/>
        <w:gridCol w:w="1387"/>
        <w:gridCol w:w="640"/>
      </w:tblGrid>
      <w:tr w14:paraId="2E589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560" w:type="dxa"/>
            <w:vAlign w:val="top"/>
          </w:tcPr>
          <w:p w14:paraId="434B2043">
            <w:pPr>
              <w:spacing w:before="242" w:line="221" w:lineRule="auto"/>
              <w:ind w:left="108"/>
              <w:jc w:val="both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2"/>
                <w:szCs w:val="22"/>
              </w:rPr>
              <w:t>序号</w:t>
            </w:r>
          </w:p>
        </w:tc>
        <w:tc>
          <w:tcPr>
            <w:tcW w:w="2172" w:type="dxa"/>
            <w:vAlign w:val="top"/>
          </w:tcPr>
          <w:p w14:paraId="09BF9988">
            <w:pPr>
              <w:spacing w:before="241" w:line="220" w:lineRule="auto"/>
              <w:ind w:left="564"/>
              <w:jc w:val="both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检查事项</w:t>
            </w:r>
          </w:p>
        </w:tc>
        <w:tc>
          <w:tcPr>
            <w:tcW w:w="2708" w:type="dxa"/>
            <w:vAlign w:val="top"/>
          </w:tcPr>
          <w:p w14:paraId="08791228">
            <w:pPr>
              <w:spacing w:before="239" w:line="219" w:lineRule="auto"/>
              <w:ind w:left="1007"/>
              <w:jc w:val="both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实施依据</w:t>
            </w:r>
          </w:p>
        </w:tc>
        <w:tc>
          <w:tcPr>
            <w:tcW w:w="1547" w:type="dxa"/>
            <w:vAlign w:val="top"/>
          </w:tcPr>
          <w:p w14:paraId="0E6A7D5E">
            <w:pPr>
              <w:spacing w:before="241" w:line="219" w:lineRule="auto"/>
              <w:ind w:left="250"/>
              <w:jc w:val="both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2"/>
                <w:szCs w:val="22"/>
                <w:lang w:eastAsia="zh-CN"/>
              </w:rPr>
              <w:t>检查方式</w:t>
            </w:r>
          </w:p>
        </w:tc>
        <w:tc>
          <w:tcPr>
            <w:tcW w:w="1387" w:type="dxa"/>
            <w:vAlign w:val="top"/>
          </w:tcPr>
          <w:p w14:paraId="0CD69DE0">
            <w:pPr>
              <w:spacing w:before="241" w:line="220" w:lineRule="auto"/>
              <w:ind w:left="291"/>
              <w:jc w:val="both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sz w:val="22"/>
                <w:szCs w:val="22"/>
              </w:rPr>
              <w:t>实施主体</w:t>
            </w:r>
          </w:p>
        </w:tc>
        <w:tc>
          <w:tcPr>
            <w:tcW w:w="640" w:type="dxa"/>
            <w:vAlign w:val="center"/>
          </w:tcPr>
          <w:p w14:paraId="427E84CF">
            <w:pPr>
              <w:spacing w:before="242" w:line="221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2"/>
                <w:szCs w:val="22"/>
              </w:rPr>
              <w:t>备注</w:t>
            </w:r>
          </w:p>
        </w:tc>
      </w:tr>
      <w:tr w14:paraId="2EC1D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0" w:type="dxa"/>
            <w:vAlign w:val="center"/>
          </w:tcPr>
          <w:p w14:paraId="3E769D93">
            <w:pPr>
              <w:pStyle w:val="9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1</w:t>
            </w:r>
          </w:p>
        </w:tc>
        <w:tc>
          <w:tcPr>
            <w:tcW w:w="2172" w:type="dxa"/>
            <w:vAlign w:val="center"/>
          </w:tcPr>
          <w:p w14:paraId="7EA1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校车使用检查</w:t>
            </w:r>
          </w:p>
        </w:tc>
        <w:tc>
          <w:tcPr>
            <w:tcW w:w="2708" w:type="dxa"/>
            <w:vAlign w:val="center"/>
          </w:tcPr>
          <w:p w14:paraId="730A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《校车安全管理条例》</w:t>
            </w:r>
          </w:p>
        </w:tc>
        <w:tc>
          <w:tcPr>
            <w:tcW w:w="1547" w:type="dxa"/>
            <w:vAlign w:val="center"/>
          </w:tcPr>
          <w:p w14:paraId="6A05AA7F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372401D6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5FD895FC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00CB7467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06E2A0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0" w:type="dxa"/>
            <w:vAlign w:val="center"/>
          </w:tcPr>
          <w:p w14:paraId="49A15DF3">
            <w:pPr>
              <w:pStyle w:val="9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2</w:t>
            </w:r>
          </w:p>
        </w:tc>
        <w:tc>
          <w:tcPr>
            <w:tcW w:w="2172" w:type="dxa"/>
            <w:vAlign w:val="center"/>
          </w:tcPr>
          <w:p w14:paraId="0B98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违反教师资格管理</w:t>
            </w:r>
          </w:p>
          <w:p w14:paraId="0CC5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规定行为检查</w:t>
            </w:r>
          </w:p>
        </w:tc>
        <w:tc>
          <w:tcPr>
            <w:tcW w:w="2708" w:type="dxa"/>
            <w:vAlign w:val="center"/>
          </w:tcPr>
          <w:p w14:paraId="42DFDB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《中华人民共和国教师法》《教师资格条例》《〈教师资格条例〉实施办法》。</w:t>
            </w:r>
          </w:p>
        </w:tc>
        <w:tc>
          <w:tcPr>
            <w:tcW w:w="1547" w:type="dxa"/>
            <w:vAlign w:val="center"/>
          </w:tcPr>
          <w:p w14:paraId="0F59E30A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09A58D73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1E442381">
            <w:pPr>
              <w:pStyle w:val="9"/>
              <w:jc w:val="both"/>
              <w:rPr>
                <w:rFonts w:hint="eastAsia" w:ascii="仿宋" w:hAnsi="仿宋" w:eastAsia="仿宋" w:cs="仿宋"/>
                <w:b/>
                <w:bCs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4D9ABA87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5FEFF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0" w:type="dxa"/>
            <w:vAlign w:val="center"/>
          </w:tcPr>
          <w:p w14:paraId="501CF1FF">
            <w:pPr>
              <w:pStyle w:val="9"/>
              <w:jc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172" w:type="dxa"/>
            <w:vAlign w:val="center"/>
          </w:tcPr>
          <w:p w14:paraId="71F09D78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幼儿园保育教学活动</w:t>
            </w:r>
          </w:p>
          <w:p w14:paraId="3AF67962">
            <w:pPr>
              <w:pStyle w:val="9"/>
              <w:jc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及办学行为检查</w:t>
            </w:r>
          </w:p>
        </w:tc>
        <w:tc>
          <w:tcPr>
            <w:tcW w:w="2708" w:type="dxa"/>
            <w:vAlign w:val="center"/>
          </w:tcPr>
          <w:p w14:paraId="6339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《幼儿园管理条例》</w:t>
            </w:r>
          </w:p>
        </w:tc>
        <w:tc>
          <w:tcPr>
            <w:tcW w:w="1547" w:type="dxa"/>
            <w:vAlign w:val="center"/>
          </w:tcPr>
          <w:p w14:paraId="39B1B16F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6DA4FFCF">
            <w:pPr>
              <w:pStyle w:val="9"/>
              <w:jc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0EBCE6D5">
            <w:pPr>
              <w:pStyle w:val="9"/>
              <w:jc w:val="both"/>
              <w:rPr>
                <w:rFonts w:hint="eastAsia" w:ascii="仿宋" w:hAnsi="仿宋" w:eastAsia="仿宋" w:cs="仿宋"/>
                <w:b/>
                <w:bCs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47A9BDB9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6B1F7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0" w:type="dxa"/>
            <w:vAlign w:val="center"/>
          </w:tcPr>
          <w:p w14:paraId="6899B157">
            <w:pPr>
              <w:pStyle w:val="9"/>
              <w:jc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172" w:type="dxa"/>
            <w:vAlign w:val="center"/>
          </w:tcPr>
          <w:p w14:paraId="1C4BB506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民办学校办学活动及</w:t>
            </w:r>
          </w:p>
          <w:p w14:paraId="4B34ECE7">
            <w:pPr>
              <w:pStyle w:val="9"/>
              <w:jc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办学行为检查</w:t>
            </w:r>
          </w:p>
        </w:tc>
        <w:tc>
          <w:tcPr>
            <w:tcW w:w="2708" w:type="dxa"/>
            <w:vAlign w:val="center"/>
          </w:tcPr>
          <w:p w14:paraId="358E15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《中华人民共和国民办教育促进法》 《中华人民共和国民办教育促进法实施条例》（国务院令第741号）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《山西省实施〈中华人民共和国民办教育促进法〉办法》</w:t>
            </w:r>
          </w:p>
        </w:tc>
        <w:tc>
          <w:tcPr>
            <w:tcW w:w="1547" w:type="dxa"/>
            <w:vAlign w:val="center"/>
          </w:tcPr>
          <w:p w14:paraId="02CA9A10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51114434">
            <w:pPr>
              <w:pStyle w:val="9"/>
              <w:jc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590DFD48">
            <w:pPr>
              <w:pStyle w:val="9"/>
              <w:jc w:val="both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462EEBB1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01855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" w:hRule="atLeast"/>
        </w:trPr>
        <w:tc>
          <w:tcPr>
            <w:tcW w:w="560" w:type="dxa"/>
            <w:vAlign w:val="center"/>
          </w:tcPr>
          <w:p w14:paraId="304B9ECF">
            <w:pPr>
              <w:pStyle w:val="9"/>
              <w:jc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172" w:type="dxa"/>
            <w:vAlign w:val="center"/>
          </w:tcPr>
          <w:p w14:paraId="76E64516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校长及教师职务</w:t>
            </w:r>
          </w:p>
          <w:p w14:paraId="17B182F2">
            <w:pPr>
              <w:pStyle w:val="9"/>
              <w:jc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评聘检查</w:t>
            </w:r>
          </w:p>
        </w:tc>
        <w:tc>
          <w:tcPr>
            <w:tcW w:w="2708" w:type="dxa"/>
            <w:vAlign w:val="center"/>
          </w:tcPr>
          <w:p w14:paraId="285CFE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《中华人民共和国义务教育法》《中华人民共和国民办教育促进法》《山西省中小学教师继续教育规定》《中小学教师资格定期注册暂行办法》</w:t>
            </w:r>
          </w:p>
        </w:tc>
        <w:tc>
          <w:tcPr>
            <w:tcW w:w="1547" w:type="dxa"/>
            <w:vAlign w:val="center"/>
          </w:tcPr>
          <w:p w14:paraId="68D4F195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19105EAA">
            <w:pPr>
              <w:pStyle w:val="9"/>
              <w:jc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2A0C6E1A">
            <w:pPr>
              <w:pStyle w:val="9"/>
              <w:jc w:val="both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4809047E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32236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0" w:type="dxa"/>
            <w:vAlign w:val="center"/>
          </w:tcPr>
          <w:p w14:paraId="3E1AEBD1">
            <w:pPr>
              <w:pStyle w:val="9"/>
              <w:jc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172" w:type="dxa"/>
            <w:vAlign w:val="center"/>
          </w:tcPr>
          <w:p w14:paraId="64DC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学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生资助工作检查</w:t>
            </w:r>
          </w:p>
        </w:tc>
        <w:tc>
          <w:tcPr>
            <w:tcW w:w="2708" w:type="dxa"/>
            <w:vAlign w:val="center"/>
          </w:tcPr>
          <w:p w14:paraId="35B4E9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《中华人民共和国教育法》《社会救助暂行办法》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547" w:type="dxa"/>
            <w:vAlign w:val="center"/>
          </w:tcPr>
          <w:p w14:paraId="57826962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7A36BC42">
            <w:pPr>
              <w:pStyle w:val="9"/>
              <w:jc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432A7F63">
            <w:pPr>
              <w:pStyle w:val="9"/>
              <w:jc w:val="both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034517E0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  <w:tr w14:paraId="0101C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60" w:type="dxa"/>
            <w:vAlign w:val="center"/>
          </w:tcPr>
          <w:p w14:paraId="7895BC9B">
            <w:pPr>
              <w:pStyle w:val="9"/>
              <w:jc w:val="center"/>
              <w:rPr>
                <w:rFonts w:hint="default" w:ascii="仿宋" w:hAnsi="仿宋" w:eastAsia="仿宋" w:cs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val="en-US" w:eastAsia="zh-CN"/>
              </w:rPr>
              <w:t>7</w:t>
            </w:r>
          </w:p>
        </w:tc>
        <w:tc>
          <w:tcPr>
            <w:tcW w:w="2172" w:type="dxa"/>
            <w:vAlign w:val="center"/>
          </w:tcPr>
          <w:p w14:paraId="7392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学校发生传染病疫情等公共卫生事件的处置方案检查</w:t>
            </w:r>
          </w:p>
        </w:tc>
        <w:tc>
          <w:tcPr>
            <w:tcW w:w="2708" w:type="dxa"/>
            <w:vAlign w:val="center"/>
          </w:tcPr>
          <w:p w14:paraId="635D85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《学校卫生工作条例》《突发公共卫生事件应急条例》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1547" w:type="dxa"/>
            <w:vAlign w:val="center"/>
          </w:tcPr>
          <w:p w14:paraId="33005DC2">
            <w:pPr>
              <w:pStyle w:val="9"/>
              <w:jc w:val="center"/>
              <w:rPr>
                <w:rFonts w:hint="eastAsia" w:ascii="仿宋" w:hAnsi="仿宋" w:eastAsia="仿宋" w:cs="仿宋"/>
                <w:color w:val="auto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现场和非现场</w:t>
            </w:r>
          </w:p>
          <w:p w14:paraId="6B740DF6">
            <w:pPr>
              <w:pStyle w:val="9"/>
              <w:jc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相结合（提供相关印证资料）</w:t>
            </w:r>
          </w:p>
        </w:tc>
        <w:tc>
          <w:tcPr>
            <w:tcW w:w="1387" w:type="dxa"/>
            <w:vAlign w:val="center"/>
          </w:tcPr>
          <w:p w14:paraId="30822BDB">
            <w:pPr>
              <w:pStyle w:val="9"/>
              <w:jc w:val="both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lang w:eastAsia="zh-CN"/>
              </w:rPr>
              <w:t>泽州县教育局</w:t>
            </w:r>
          </w:p>
        </w:tc>
        <w:tc>
          <w:tcPr>
            <w:tcW w:w="640" w:type="dxa"/>
            <w:vAlign w:val="center"/>
          </w:tcPr>
          <w:p w14:paraId="031D16BA">
            <w:pPr>
              <w:pStyle w:val="9"/>
              <w:jc w:val="both"/>
              <w:rPr>
                <w:rFonts w:hint="eastAsia" w:ascii="仿宋" w:hAnsi="仿宋" w:eastAsia="仿宋" w:cs="仿宋"/>
                <w:color w:val="auto"/>
              </w:rPr>
            </w:pPr>
          </w:p>
        </w:tc>
      </w:tr>
    </w:tbl>
    <w:p w14:paraId="2528E47A">
      <w:pPr>
        <w:spacing w:before="54" w:line="219" w:lineRule="auto"/>
        <w:ind w:left="4"/>
        <w:jc w:val="both"/>
        <w:rPr>
          <w:color w:val="auto"/>
          <w:sz w:val="23"/>
          <w:szCs w:val="23"/>
        </w:rPr>
      </w:pPr>
    </w:p>
    <w:p w14:paraId="77710908">
      <w:pPr>
        <w:spacing w:before="54" w:line="219" w:lineRule="auto"/>
        <w:ind w:left="4"/>
        <w:jc w:val="both"/>
        <w:rPr>
          <w:color w:val="auto"/>
          <w:sz w:val="23"/>
          <w:szCs w:val="23"/>
        </w:rPr>
      </w:pPr>
    </w:p>
    <w:p w14:paraId="2F13BB5A">
      <w:pPr>
        <w:spacing w:before="54" w:line="219" w:lineRule="auto"/>
        <w:ind w:left="4"/>
        <w:jc w:val="both"/>
        <w:rPr>
          <w:color w:val="auto"/>
          <w:sz w:val="23"/>
          <w:szCs w:val="23"/>
        </w:rPr>
      </w:pPr>
    </w:p>
    <w:p w14:paraId="7A99E552">
      <w:pPr>
        <w:spacing w:before="54" w:line="219" w:lineRule="auto"/>
        <w:ind w:left="4"/>
        <w:jc w:val="both"/>
        <w:rPr>
          <w:color w:val="auto"/>
          <w:sz w:val="23"/>
          <w:szCs w:val="23"/>
        </w:rPr>
      </w:pPr>
    </w:p>
    <w:p w14:paraId="399C2234">
      <w:pPr>
        <w:spacing w:before="54" w:line="219" w:lineRule="auto"/>
        <w:ind w:left="4"/>
        <w:jc w:val="both"/>
        <w:rPr>
          <w:color w:val="auto"/>
          <w:sz w:val="23"/>
          <w:szCs w:val="23"/>
        </w:rPr>
      </w:pPr>
    </w:p>
    <w:p w14:paraId="66F596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eastAsia="宋体"/>
          <w:color w:val="auto"/>
          <w:sz w:val="23"/>
          <w:szCs w:val="23"/>
          <w:lang w:val="en-US" w:eastAsia="zh-CN"/>
        </w:rPr>
        <w:t xml:space="preserve">          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泽州县教育局</w:t>
      </w:r>
    </w:p>
    <w:p w14:paraId="78C9AE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   2026年3月5日</w:t>
      </w:r>
    </w:p>
    <w:p w14:paraId="75B61A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57336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AEF80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CE8E730">
      <w:pPr>
        <w:spacing w:line="560" w:lineRule="exact"/>
        <w:rPr>
          <w:rFonts w:ascii="仿宋_GB2312"/>
          <w:szCs w:val="32"/>
        </w:rPr>
      </w:pPr>
    </w:p>
    <w:p w14:paraId="6D4E5D40">
      <w:pPr>
        <w:spacing w:line="560" w:lineRule="exact"/>
        <w:rPr>
          <w:rFonts w:ascii="仿宋_GB2312"/>
          <w:szCs w:val="32"/>
        </w:rPr>
      </w:pPr>
    </w:p>
    <w:p w14:paraId="7CAA7B31">
      <w:pPr>
        <w:spacing w:line="560" w:lineRule="exact"/>
        <w:rPr>
          <w:rFonts w:ascii="仿宋_GB2312"/>
          <w:szCs w:val="32"/>
        </w:rPr>
      </w:pPr>
    </w:p>
    <w:p w14:paraId="08332C21">
      <w:pPr>
        <w:spacing w:line="560" w:lineRule="exact"/>
        <w:rPr>
          <w:rFonts w:ascii="仿宋_GB231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317500</wp:posOffset>
                </wp:positionV>
                <wp:extent cx="5615940" cy="2540"/>
                <wp:effectExtent l="0" t="0" r="0" b="0"/>
                <wp:wrapNone/>
                <wp:docPr id="14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94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657" h="4">
                              <a:moveTo>
                                <a:pt x="0" y="4"/>
                              </a:moveTo>
                              <a:lnTo>
                                <a:pt x="8657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0pt;margin-top:25pt;height:0.2pt;width:442.2pt;z-index:251659264;mso-width-relative:page;mso-height-relative:page;" filled="f" stroked="t" coordsize="8657,4" o:gfxdata="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tMyI31AAAAAYBAAAPAAAAAAAAAAEAIAAAACIAAABkcnMvZG93bnJldi54bWxQ&#10;SwECFAAUAAAACACHTuJALwsxBTQCAACOBAAADgAAAAAAAAABACAAAAAjAQAAZHJzL2Uyb0RvYy54&#10;bWxQSwUGAAAAAAYABgBZAQAAyQUAAAAA&#10;" path="m0,4l8657,0e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F62A26D">
      <w:pPr>
        <w:spacing w:line="560" w:lineRule="exact"/>
        <w:ind w:firstLine="140" w:firstLineChars="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　</w:t>
      </w:r>
      <w:r>
        <w:rPr>
          <w:rFonts w:hint="eastAsia" w:ascii="仿宋_GB2312" w:hAnsi="仿宋_GB2312" w:eastAsia="仿宋_GB2312" w:cs="仿宋_GB2312"/>
          <w:sz w:val="28"/>
          <w:szCs w:val="28"/>
        </w:rPr>
        <w:t>泽州县教育局                             20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日印发</w:t>
      </w:r>
    </w:p>
    <w:p w14:paraId="1AFDE999">
      <w:pPr>
        <w:spacing w:line="560" w:lineRule="exact"/>
        <w:ind w:firstLine="105" w:firstLineChars="50"/>
        <w:jc w:val="left"/>
        <w:rPr>
          <w:rFonts w:hint="default" w:ascii="仿宋_GB2312" w:hAnsi="仿宋_GB2312" w:eastAsia="仿宋_GB2312" w:cs="仿宋_GB2312"/>
          <w:b w:val="0"/>
          <w:bCs w:val="0"/>
          <w:spacing w:val="0"/>
          <w:kern w:val="56"/>
          <w:position w:val="0"/>
          <w:sz w:val="32"/>
          <w:szCs w:val="32"/>
          <w:lang w:val="en-US" w:eastAsia="zh-CN"/>
        </w:rPr>
        <w:sectPr>
          <w:footerReference r:id="rId5" w:type="default"/>
          <w:pgSz w:w="11905" w:h="16832"/>
          <w:pgMar w:top="2098" w:right="1474" w:bottom="1984" w:left="1587" w:header="0" w:footer="1423" w:gutter="0"/>
          <w:pgNumType w:fmt="decimal"/>
          <w:cols w:space="0" w:num="1"/>
          <w:rtlGutter w:val="0"/>
          <w:docGrid w:linePitch="285" w:charSpace="0"/>
        </w:sect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62865</wp:posOffset>
                </wp:positionV>
                <wp:extent cx="5615940" cy="2540"/>
                <wp:effectExtent l="0" t="0" r="0" b="0"/>
                <wp:wrapNone/>
                <wp:docPr id="16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940" cy="254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657" h="4">
                              <a:moveTo>
                                <a:pt x="0" y="4"/>
                              </a:moveTo>
                              <a:lnTo>
                                <a:pt x="8657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1.2pt;margin-top:4.95pt;height:0.2pt;width:442.2pt;z-index:251660288;mso-width-relative:page;mso-height-relative:page;" filled="f" stroked="t" coordsize="8657,4" o:gfxdata="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cgCITtUAAAAHAQAADwAAAAAAAAABACAAAAAiAAAAZHJzL2Rvd25yZXYueG1s&#10;UEsBAhQAFAAAAAgAh07iQEzds2c0AgAAjgQAAA4AAAAAAAAAAQAgAAAAJAEAAGRycy9lMm9Eb2Mu&#10;eG1sUEsFBgAAAAAGAAYAWQEAAMoFAAAAAA==&#10;" path="m0,4l8657,0e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8CA18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pgSz w:w="11900" w:h="16820"/>
          <w:pgMar w:top="2098" w:right="1474" w:bottom="1984" w:left="1587" w:header="0" w:footer="0" w:gutter="0"/>
          <w:cols w:equalWidth="0" w:num="1">
            <w:col w:w="10281"/>
          </w:cols>
          <w:rtlGutter w:val="0"/>
          <w:docGrid w:linePitch="0" w:charSpace="0"/>
        </w:sectPr>
      </w:pPr>
    </w:p>
    <w:p w14:paraId="79FF74E8">
      <w:pPr>
        <w:bidi w:val="0"/>
        <w:rPr>
          <w:rFonts w:hint="eastAsia"/>
          <w:lang w:val="en-US" w:eastAsia="zh-CN"/>
        </w:rPr>
      </w:pPr>
    </w:p>
    <w:p w14:paraId="69CE2393">
      <w:pPr>
        <w:bidi w:val="0"/>
        <w:rPr>
          <w:rFonts w:hint="eastAsia"/>
          <w:lang w:val="en-US" w:eastAsia="zh-CN"/>
        </w:rPr>
      </w:pPr>
    </w:p>
    <w:p w14:paraId="5F666438">
      <w:pPr>
        <w:bidi w:val="0"/>
        <w:rPr>
          <w:rFonts w:hint="eastAsia"/>
          <w:lang w:val="en-US" w:eastAsia="zh-CN"/>
        </w:rPr>
      </w:pPr>
    </w:p>
    <w:p w14:paraId="308F079C">
      <w:pPr>
        <w:bidi w:val="0"/>
        <w:rPr>
          <w:rFonts w:hint="eastAsia"/>
          <w:lang w:val="en-US" w:eastAsia="zh-CN"/>
        </w:rPr>
      </w:pPr>
    </w:p>
    <w:p w14:paraId="4E0AB8A0">
      <w:pPr>
        <w:bidi w:val="0"/>
        <w:rPr>
          <w:rFonts w:hint="eastAsia"/>
          <w:lang w:val="en-US" w:eastAsia="zh-CN"/>
        </w:rPr>
      </w:pPr>
    </w:p>
    <w:p w14:paraId="7DC4B05D">
      <w:pPr>
        <w:bidi w:val="0"/>
        <w:rPr>
          <w:rFonts w:hint="eastAsia"/>
          <w:lang w:val="en-US" w:eastAsia="zh-CN"/>
        </w:rPr>
      </w:pPr>
    </w:p>
    <w:p w14:paraId="33C45D96">
      <w:pPr>
        <w:bidi w:val="0"/>
        <w:rPr>
          <w:rFonts w:hint="eastAsia"/>
          <w:lang w:val="en-US" w:eastAsia="zh-CN"/>
        </w:rPr>
      </w:pPr>
    </w:p>
    <w:p w14:paraId="2345CC26">
      <w:pPr>
        <w:bidi w:val="0"/>
        <w:rPr>
          <w:rFonts w:hint="eastAsia"/>
          <w:lang w:val="en-US" w:eastAsia="zh-CN"/>
        </w:rPr>
      </w:pPr>
    </w:p>
    <w:p w14:paraId="06FA8401">
      <w:pPr>
        <w:bidi w:val="0"/>
        <w:rPr>
          <w:rFonts w:hint="eastAsia"/>
          <w:lang w:val="en-US" w:eastAsia="zh-CN"/>
        </w:rPr>
      </w:pPr>
    </w:p>
    <w:p w14:paraId="324F54A2">
      <w:pPr>
        <w:bidi w:val="0"/>
        <w:rPr>
          <w:rFonts w:hint="eastAsia"/>
          <w:lang w:val="en-US" w:eastAsia="zh-CN"/>
        </w:rPr>
      </w:pPr>
    </w:p>
    <w:p w14:paraId="2694067F">
      <w:pPr>
        <w:bidi w:val="0"/>
        <w:rPr>
          <w:rFonts w:hint="eastAsia"/>
          <w:lang w:val="en-US" w:eastAsia="zh-CN"/>
        </w:rPr>
      </w:pPr>
    </w:p>
    <w:p w14:paraId="15791D3D">
      <w:pPr>
        <w:bidi w:val="0"/>
        <w:rPr>
          <w:rFonts w:hint="eastAsia"/>
          <w:lang w:val="en-US" w:eastAsia="zh-CN"/>
        </w:rPr>
      </w:pPr>
    </w:p>
    <w:p w14:paraId="111DEE91">
      <w:pPr>
        <w:widowControl/>
        <w:kinsoku w:val="0"/>
        <w:wordWrap/>
        <w:autoSpaceDE w:val="0"/>
        <w:autoSpaceDN w:val="0"/>
        <w:adjustRightInd w:val="0"/>
        <w:snapToGrid w:val="0"/>
        <w:spacing w:line="360" w:lineRule="auto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0"/>
          <w:kern w:val="56"/>
          <w:position w:val="0"/>
          <w:sz w:val="32"/>
          <w:szCs w:val="32"/>
          <w:lang w:val="en-US" w:eastAsia="zh-CN"/>
        </w:rPr>
      </w:pPr>
    </w:p>
    <w:p w14:paraId="3D5FACF9">
      <w:pPr>
        <w:bidi w:val="0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659433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beforeLines="30" w:line="31" w:lineRule="atLeast"/>
        <w:jc w:val="left"/>
        <w:textAlignment w:val="baseline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　</w:t>
      </w:r>
    </w:p>
    <w:p w14:paraId="748B24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6" w:beforeLines="30" w:line="31" w:lineRule="atLeast"/>
        <w:jc w:val="left"/>
        <w:textAlignment w:val="baseline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</w:p>
    <w:p w14:paraId="13E24A38">
      <w:pPr>
        <w:tabs>
          <w:tab w:val="left" w:pos="2776"/>
        </w:tabs>
        <w:bidi w:val="0"/>
        <w:jc w:val="left"/>
        <w:rPr>
          <w:sz w:val="32"/>
        </w:rPr>
      </w:pPr>
    </w:p>
    <w:p w14:paraId="536FBCBF">
      <w:pPr>
        <w:bidi w:val="0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3F7FCEEF">
      <w:pPr>
        <w:bidi w:val="0"/>
        <w:rPr>
          <w:rFonts w:hint="eastAsia"/>
          <w:lang w:val="en-US" w:eastAsia="zh-CN"/>
        </w:rPr>
      </w:pPr>
    </w:p>
    <w:p w14:paraId="765F8660">
      <w:pPr>
        <w:bidi w:val="0"/>
        <w:rPr>
          <w:rFonts w:hint="eastAsia"/>
          <w:lang w:val="en-US" w:eastAsia="zh-CN"/>
        </w:rPr>
      </w:pPr>
    </w:p>
    <w:p w14:paraId="0F752DE7">
      <w:pPr>
        <w:bidi w:val="0"/>
        <w:rPr>
          <w:rFonts w:hint="eastAsia"/>
          <w:lang w:val="en-US" w:eastAsia="zh-CN"/>
        </w:rPr>
      </w:pPr>
    </w:p>
    <w:p w14:paraId="054A8406">
      <w:pPr>
        <w:bidi w:val="0"/>
        <w:rPr>
          <w:rFonts w:hint="eastAsia"/>
          <w:lang w:val="en-US" w:eastAsia="zh-CN"/>
        </w:rPr>
      </w:pPr>
    </w:p>
    <w:p w14:paraId="4865C4CF">
      <w:pPr>
        <w:bidi w:val="0"/>
        <w:rPr>
          <w:rFonts w:hint="eastAsia"/>
          <w:lang w:val="en-US" w:eastAsia="zh-CN"/>
        </w:rPr>
      </w:pPr>
    </w:p>
    <w:p w14:paraId="5AA01082">
      <w:pPr>
        <w:bidi w:val="0"/>
        <w:rPr>
          <w:rFonts w:hint="eastAsia"/>
          <w:lang w:val="en-US" w:eastAsia="zh-CN"/>
        </w:rPr>
      </w:pPr>
    </w:p>
    <w:p w14:paraId="156382E4">
      <w:pPr>
        <w:bidi w:val="0"/>
        <w:rPr>
          <w:rFonts w:hint="eastAsia"/>
          <w:lang w:val="en-US" w:eastAsia="zh-CN"/>
        </w:rPr>
      </w:pPr>
    </w:p>
    <w:p w14:paraId="2A6EA1E4">
      <w:pPr>
        <w:bidi w:val="0"/>
        <w:rPr>
          <w:rFonts w:hint="eastAsia"/>
          <w:lang w:val="en-US" w:eastAsia="zh-CN"/>
        </w:rPr>
      </w:pPr>
    </w:p>
    <w:p w14:paraId="03758DEB">
      <w:pPr>
        <w:bidi w:val="0"/>
        <w:rPr>
          <w:rFonts w:hint="eastAsia"/>
          <w:lang w:val="en-US" w:eastAsia="zh-CN"/>
        </w:rPr>
      </w:pPr>
    </w:p>
    <w:p w14:paraId="7DE58D29">
      <w:pPr>
        <w:bidi w:val="0"/>
        <w:rPr>
          <w:rFonts w:hint="eastAsia"/>
          <w:lang w:val="en-US" w:eastAsia="zh-CN"/>
        </w:rPr>
      </w:pPr>
    </w:p>
    <w:p w14:paraId="2BA16579">
      <w:pPr>
        <w:bidi w:val="0"/>
        <w:rPr>
          <w:rFonts w:hint="eastAsia"/>
          <w:lang w:val="en-US" w:eastAsia="zh-CN"/>
        </w:rPr>
      </w:pPr>
    </w:p>
    <w:p w14:paraId="16F09795">
      <w:pPr>
        <w:bidi w:val="0"/>
        <w:rPr>
          <w:rFonts w:hint="eastAsia"/>
          <w:lang w:val="en-US" w:eastAsia="zh-CN"/>
        </w:rPr>
      </w:pPr>
    </w:p>
    <w:p w14:paraId="34843A82">
      <w:pPr>
        <w:bidi w:val="0"/>
        <w:rPr>
          <w:rFonts w:hint="eastAsia"/>
          <w:lang w:val="en-US" w:eastAsia="zh-CN"/>
        </w:rPr>
      </w:pPr>
    </w:p>
    <w:p w14:paraId="52343D54">
      <w:pPr>
        <w:bidi w:val="0"/>
        <w:rPr>
          <w:rFonts w:hint="eastAsia"/>
          <w:lang w:val="en-US" w:eastAsia="zh-CN"/>
        </w:rPr>
      </w:pPr>
    </w:p>
    <w:p w14:paraId="06B4CE08">
      <w:pPr>
        <w:bidi w:val="0"/>
        <w:rPr>
          <w:rFonts w:hint="eastAsia"/>
          <w:lang w:val="en-US" w:eastAsia="zh-CN"/>
        </w:rPr>
      </w:pPr>
    </w:p>
    <w:p w14:paraId="114496FF">
      <w:pPr>
        <w:bidi w:val="0"/>
        <w:rPr>
          <w:rFonts w:hint="eastAsia"/>
          <w:lang w:val="en-US" w:eastAsia="zh-CN"/>
        </w:rPr>
      </w:pPr>
    </w:p>
    <w:p w14:paraId="5273DADF">
      <w:pPr>
        <w:bidi w:val="0"/>
        <w:rPr>
          <w:rFonts w:hint="eastAsia"/>
          <w:lang w:val="en-US" w:eastAsia="zh-CN"/>
        </w:rPr>
      </w:pPr>
    </w:p>
    <w:p w14:paraId="1F89DC22">
      <w:pPr>
        <w:bidi w:val="0"/>
        <w:rPr>
          <w:rFonts w:hint="eastAsia"/>
          <w:lang w:val="en-US" w:eastAsia="zh-CN"/>
        </w:rPr>
      </w:pPr>
    </w:p>
    <w:p w14:paraId="4955FD33">
      <w:pPr>
        <w:bidi w:val="0"/>
        <w:rPr>
          <w:rFonts w:hint="eastAsia"/>
          <w:lang w:val="en-US" w:eastAsia="zh-CN"/>
        </w:rPr>
      </w:pPr>
    </w:p>
    <w:p w14:paraId="023841FB">
      <w:pPr>
        <w:bidi w:val="0"/>
        <w:rPr>
          <w:rFonts w:hint="eastAsia"/>
          <w:lang w:val="en-US" w:eastAsia="zh-CN"/>
        </w:rPr>
      </w:pPr>
    </w:p>
    <w:p w14:paraId="21DCDE98">
      <w:pPr>
        <w:bidi w:val="0"/>
        <w:rPr>
          <w:rFonts w:hint="eastAsia"/>
          <w:lang w:val="en-US" w:eastAsia="zh-CN"/>
        </w:rPr>
      </w:pPr>
    </w:p>
    <w:p w14:paraId="69B34CCC">
      <w:pPr>
        <w:bidi w:val="0"/>
        <w:rPr>
          <w:rFonts w:hint="eastAsia"/>
          <w:lang w:val="en-US" w:eastAsia="zh-CN"/>
        </w:rPr>
      </w:pPr>
    </w:p>
    <w:p w14:paraId="0C780B3E">
      <w:pPr>
        <w:bidi w:val="0"/>
        <w:rPr>
          <w:rFonts w:hint="eastAsia"/>
          <w:lang w:val="en-US" w:eastAsia="zh-CN"/>
        </w:rPr>
      </w:pPr>
    </w:p>
    <w:p w14:paraId="27976C20">
      <w:pPr>
        <w:bidi w:val="0"/>
        <w:rPr>
          <w:rFonts w:hint="eastAsia"/>
          <w:lang w:val="en-US" w:eastAsia="zh-CN"/>
        </w:rPr>
      </w:pPr>
    </w:p>
    <w:p w14:paraId="169A7E61">
      <w:pPr>
        <w:bidi w:val="0"/>
        <w:rPr>
          <w:rFonts w:hint="eastAsia"/>
          <w:lang w:val="en-US" w:eastAsia="zh-CN"/>
        </w:rPr>
      </w:pPr>
    </w:p>
    <w:p w14:paraId="52E492CD">
      <w:pPr>
        <w:bidi w:val="0"/>
        <w:rPr>
          <w:rFonts w:hint="eastAsia"/>
          <w:lang w:val="en-US" w:eastAsia="zh-CN"/>
        </w:rPr>
      </w:pPr>
    </w:p>
    <w:p w14:paraId="7DB3B3EE">
      <w:pPr>
        <w:bidi w:val="0"/>
        <w:rPr>
          <w:rFonts w:hint="eastAsia"/>
          <w:lang w:val="en-US" w:eastAsia="zh-CN"/>
        </w:rPr>
      </w:pPr>
    </w:p>
    <w:p w14:paraId="39970BC2">
      <w:pPr>
        <w:bidi w:val="0"/>
        <w:rPr>
          <w:rFonts w:hint="eastAsia"/>
          <w:lang w:val="en-US" w:eastAsia="zh-CN"/>
        </w:rPr>
      </w:pPr>
    </w:p>
    <w:p w14:paraId="2680F26A">
      <w:pPr>
        <w:bidi w:val="0"/>
        <w:rPr>
          <w:rFonts w:hint="eastAsia"/>
          <w:lang w:val="en-US" w:eastAsia="zh-CN"/>
        </w:rPr>
      </w:pPr>
    </w:p>
    <w:p w14:paraId="7912309F">
      <w:pPr>
        <w:bidi w:val="0"/>
        <w:rPr>
          <w:rFonts w:hint="eastAsia"/>
          <w:lang w:val="en-US" w:eastAsia="zh-CN"/>
        </w:rPr>
      </w:pPr>
    </w:p>
    <w:p w14:paraId="2D16D191">
      <w:pPr>
        <w:bidi w:val="0"/>
        <w:rPr>
          <w:rFonts w:hint="eastAsia"/>
          <w:lang w:val="en-US" w:eastAsia="zh-CN"/>
        </w:rPr>
      </w:pPr>
    </w:p>
    <w:p w14:paraId="28C6E9DB">
      <w:pPr>
        <w:bidi w:val="0"/>
        <w:rPr>
          <w:rFonts w:hint="eastAsia"/>
          <w:lang w:val="en-US" w:eastAsia="zh-CN"/>
        </w:rPr>
      </w:pPr>
    </w:p>
    <w:p w14:paraId="74F93BA6">
      <w:pPr>
        <w:bidi w:val="0"/>
        <w:rPr>
          <w:rFonts w:hint="eastAsia"/>
          <w:lang w:val="en-US" w:eastAsia="zh-CN"/>
        </w:rPr>
      </w:pPr>
    </w:p>
    <w:p w14:paraId="429D27F5">
      <w:pPr>
        <w:bidi w:val="0"/>
        <w:rPr>
          <w:rFonts w:hint="eastAsia"/>
          <w:lang w:val="en-US" w:eastAsia="zh-CN"/>
        </w:rPr>
      </w:pPr>
    </w:p>
    <w:p w14:paraId="15459BA0">
      <w:pPr>
        <w:bidi w:val="0"/>
        <w:jc w:val="center"/>
        <w:rPr>
          <w:rFonts w:hint="eastAsia"/>
          <w:lang w:val="en-US" w:eastAsia="zh-CN"/>
        </w:rPr>
      </w:pPr>
    </w:p>
    <w:sectPr>
      <w:footerReference r:id="rId6" w:type="default"/>
      <w:pgSz w:w="11905" w:h="16832"/>
      <w:pgMar w:top="1174" w:right="1565" w:bottom="1689" w:left="1389" w:header="0" w:footer="1423" w:gutter="0"/>
      <w:pgNumType w:fmt="decimal"/>
      <w:cols w:space="720" w:num="1"/>
      <w:rtlGutter w:val="0"/>
      <w:docGrid w:linePitch="28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E43A4">
    <w:pPr>
      <w:spacing w:line="183" w:lineRule="auto"/>
      <w:rPr>
        <w:rFonts w:ascii="宋体" w:hAnsi="宋体" w:eastAsia="宋体" w:cs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5172710</wp:posOffset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7DC47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7.3pt;margin-top:-6pt;height:144pt;width:144pt;mso-position-horizontal-relative:margin;mso-wrap-style:none;z-index:251663360;mso-width-relative:page;mso-height-relative:page;" filled="f" stroked="f" coordsize="21600,21600" o:gfxdata="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qZywc2AAAAAwBAAAPAAAAAAAAAAEAIAAAACIAAABkcnMvZG93bnJldi54&#10;bWxQSwECFAAUAAAACACHTuJAOpKOETMCAABj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7DC47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5394325</wp:posOffset>
              </wp:positionH>
              <wp:positionV relativeFrom="paragraph">
                <wp:posOffset>-60960</wp:posOffset>
              </wp:positionV>
              <wp:extent cx="361950" cy="175260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1950" cy="175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4C271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4.75pt;margin-top:-4.8pt;height:13.8pt;width:28.5pt;mso-position-horizontal-relative:margin;z-index:251662336;mso-width-relative:page;mso-height-relative:page;" filled="f" stroked="f" coordsize="21600,21600" o:gfxdata="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zmIIv1wAAAAkBAAAPAAAAAAAAAAEAIAAAACIAAABkcnMvZG93bnJl&#10;di54bWxQSwECFAAUAAAACACHTuJAdU2unzcCAABjBAAADgAAAAAAAAABACAAAAAm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84C271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4AF6FA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Dp+ypg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4AF6FA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5C889">
    <w:pPr>
      <w:tabs>
        <w:tab w:val="left" w:pos="670"/>
      </w:tabs>
      <w:spacing w:line="183" w:lineRule="auto"/>
      <w:rPr>
        <w:rFonts w:ascii="宋体" w:hAnsi="宋体" w:eastAsia="宋体" w:cs="宋体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210"/>
  <w:drawingGridVerticalSpacing w:val="143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4ZWI1ZjI3YTY5NTRlOGI2MDI1M2I5MDdhNzE2OGUifQ=="/>
  </w:docVars>
  <w:rsids>
    <w:rsidRoot w:val="00000000"/>
    <w:rsid w:val="0C1E23C8"/>
    <w:rsid w:val="49480781"/>
    <w:rsid w:val="4BFE6C39"/>
    <w:rsid w:val="5EE96F06"/>
    <w:rsid w:val="673F9679"/>
    <w:rsid w:val="7EE58AF4"/>
    <w:rsid w:val="F7FBD204"/>
    <w:rsid w:val="FF9EDA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4402</Words>
  <Characters>4457</Characters>
  <Lines>0</Lines>
  <Paragraphs>23</Paragraphs>
  <TotalTime>10</TotalTime>
  <ScaleCrop>false</ScaleCrop>
  <LinksUpToDate>false</LinksUpToDate>
  <CharactersWithSpaces>4713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2023-09-07T19:02:00Z</dcterms:created>
  <dc:creator>香寒</dc:creator>
  <cp:lastModifiedBy>春晓</cp:lastModifiedBy>
  <cp:lastPrinted>2026-03-05T09:14:30Z</cp:lastPrinted>
  <dcterms:modified xsi:type="dcterms:W3CDTF">2026-03-05T09:16:51Z</dcterms:modified>
  <dc:title>　　　　　　　　　泽教政字〔2023〕 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8E0618A409CCEBF03854A66902ECF598_43</vt:lpwstr>
  </property>
</Properties>
</file>