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泽州县文化和旅游局涉企行政检查公示信息</w:t>
      </w:r>
    </w:p>
    <w:p>
      <w:pPr>
        <w:jc w:val="both"/>
        <w:rPr>
          <w:rFonts w:hint="eastAsia"/>
          <w:sz w:val="32"/>
          <w:szCs w:val="32"/>
          <w:lang w:val="en-US" w:eastAsia="zh-CN"/>
        </w:rPr>
      </w:pPr>
      <w:r>
        <w:rPr>
          <w:rFonts w:hint="eastAsia"/>
          <w:sz w:val="32"/>
          <w:szCs w:val="32"/>
          <w:lang w:val="en-US" w:eastAsia="zh-CN"/>
        </w:rPr>
        <w:t>（盖章）</w:t>
      </w:r>
    </w:p>
    <w:tbl>
      <w:tblPr>
        <w:tblStyle w:val="4"/>
        <w:tblW w:w="14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138"/>
        <w:gridCol w:w="2535"/>
        <w:gridCol w:w="4455"/>
        <w:gridCol w:w="1350"/>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jc w:val="center"/>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2138" w:type="dxa"/>
            <w:vAlign w:val="center"/>
          </w:tcPr>
          <w:p>
            <w:pPr>
              <w:jc w:val="center"/>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检查主体</w:t>
            </w:r>
          </w:p>
        </w:tc>
        <w:tc>
          <w:tcPr>
            <w:tcW w:w="2535" w:type="dxa"/>
            <w:vAlign w:val="center"/>
          </w:tcPr>
          <w:p>
            <w:pPr>
              <w:jc w:val="center"/>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检查事项</w:t>
            </w:r>
          </w:p>
        </w:tc>
        <w:tc>
          <w:tcPr>
            <w:tcW w:w="4455" w:type="dxa"/>
            <w:vAlign w:val="center"/>
          </w:tcPr>
          <w:p>
            <w:pPr>
              <w:jc w:val="center"/>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检查依据</w:t>
            </w:r>
          </w:p>
        </w:tc>
        <w:tc>
          <w:tcPr>
            <w:tcW w:w="1350" w:type="dxa"/>
            <w:vAlign w:val="center"/>
          </w:tcPr>
          <w:p>
            <w:pPr>
              <w:jc w:val="center"/>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检查频次</w:t>
            </w:r>
          </w:p>
        </w:tc>
        <w:tc>
          <w:tcPr>
            <w:tcW w:w="3090" w:type="dxa"/>
            <w:vAlign w:val="center"/>
          </w:tcPr>
          <w:p>
            <w:pPr>
              <w:jc w:val="center"/>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2138"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keepNext w:val="0"/>
              <w:keepLines w:val="0"/>
              <w:widowControl/>
              <w:suppressLineNumbers w:val="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对娱乐场所的日常监管和专项检查</w:t>
            </w:r>
          </w:p>
          <w:p>
            <w:pPr>
              <w:jc w:val="center"/>
              <w:rPr>
                <w:rFonts w:hint="eastAsia" w:ascii="方正仿宋_GBK" w:hAnsi="方正仿宋_GBK" w:eastAsia="方正仿宋_GBK" w:cs="方正仿宋_GBK"/>
                <w:sz w:val="21"/>
                <w:szCs w:val="21"/>
                <w:vertAlign w:val="baseline"/>
                <w:lang w:val="en-US" w:eastAsia="zh-CN"/>
              </w:rPr>
            </w:pPr>
          </w:p>
        </w:tc>
        <w:tc>
          <w:tcPr>
            <w:tcW w:w="4455" w:type="dxa"/>
            <w:vAlign w:val="center"/>
          </w:tcPr>
          <w:p>
            <w:pPr>
              <w:keepNext w:val="0"/>
              <w:keepLines w:val="0"/>
              <w:widowControl/>
              <w:suppressLineNumbers w:val="0"/>
              <w:jc w:val="left"/>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i w:val="0"/>
                <w:iCs w:val="0"/>
                <w:caps w:val="0"/>
                <w:color w:val="333333"/>
                <w:spacing w:val="0"/>
                <w:sz w:val="21"/>
                <w:szCs w:val="21"/>
                <w:shd w:val="clear" w:fill="FFFFFF"/>
              </w:rPr>
              <w:t>《</w:t>
            </w: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娱乐场所管理条例》（2020年11月29日第二次修订）</w:t>
            </w:r>
          </w:p>
          <w:p>
            <w:pPr>
              <w:keepNext w:val="0"/>
              <w:keepLines w:val="0"/>
              <w:widowControl/>
              <w:suppressLineNumbers w:val="0"/>
              <w:jc w:val="left"/>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第三条　县级以上人民政府文化主管部门负责对娱乐场所日常经营活动的监督管理；县级以上公安部门负责对娱乐场所消防、治安状况的监督管理。</w:t>
            </w:r>
          </w:p>
          <w:p>
            <w:pPr>
              <w:jc w:val="center"/>
              <w:rPr>
                <w:rFonts w:hint="eastAsia" w:ascii="方正仿宋_GBK" w:hAnsi="方正仿宋_GBK" w:eastAsia="方正仿宋_GBK" w:cs="方正仿宋_GBK"/>
                <w:sz w:val="21"/>
                <w:szCs w:val="21"/>
                <w:vertAlign w:val="baseline"/>
                <w:lang w:val="en-US" w:eastAsia="zh-CN"/>
              </w:rPr>
            </w:pPr>
          </w:p>
        </w:tc>
        <w:tc>
          <w:tcPr>
            <w:tcW w:w="135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rPr>
              <w:t>一年</w:t>
            </w:r>
            <w:r>
              <w:rPr>
                <w:rFonts w:hint="eastAsia" w:ascii="方正仿宋_GBK" w:hAnsi="方正仿宋_GBK" w:eastAsia="方正仿宋_GBK" w:cs="方正仿宋_GBK"/>
                <w:i w:val="0"/>
                <w:iCs w:val="0"/>
                <w:caps w:val="0"/>
                <w:color w:val="333333"/>
                <w:spacing w:val="0"/>
                <w:sz w:val="21"/>
                <w:szCs w:val="21"/>
                <w:shd w:val="clear" w:fill="FFFFFF"/>
                <w:lang w:eastAsia="zh-CN"/>
              </w:rPr>
              <w:t>四</w:t>
            </w:r>
            <w:r>
              <w:rPr>
                <w:rFonts w:hint="eastAsia" w:ascii="方正仿宋_GBK" w:hAnsi="方正仿宋_GBK" w:eastAsia="方正仿宋_GBK" w:cs="方正仿宋_GBK"/>
                <w:i w:val="0"/>
                <w:iCs w:val="0"/>
                <w:caps w:val="0"/>
                <w:color w:val="333333"/>
                <w:spacing w:val="0"/>
                <w:sz w:val="21"/>
                <w:szCs w:val="21"/>
                <w:shd w:val="clear" w:fill="FFFFFF"/>
              </w:rPr>
              <w:t>次</w:t>
            </w:r>
          </w:p>
        </w:tc>
        <w:tc>
          <w:tcPr>
            <w:tcW w:w="3090" w:type="dxa"/>
            <w:vAlign w:val="center"/>
          </w:tcPr>
          <w:p>
            <w:pPr>
              <w:keepNext w:val="0"/>
              <w:keepLines w:val="0"/>
              <w:widowControl/>
              <w:suppressLineNumbers w:val="0"/>
              <w:jc w:val="both"/>
              <w:rPr>
                <w:rFonts w:hint="eastAsia" w:ascii="方正仿宋_GBK" w:hAnsi="方正仿宋_GBK" w:eastAsia="方正仿宋_GBK" w:cs="方正仿宋_GBK"/>
                <w:i w:val="0"/>
                <w:iCs w:val="0"/>
                <w:caps w:val="0"/>
                <w:color w:val="333333"/>
                <w:spacing w:val="0"/>
                <w:sz w:val="21"/>
                <w:szCs w:val="21"/>
                <w:shd w:val="clear" w:fill="FFFFFF"/>
                <w:lang w:val="en-US" w:eastAsia="zh-CN"/>
              </w:rPr>
            </w:pP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歌舞娱乐场所的歌曲点播系统与境外的曲库联接</w:t>
            </w:r>
            <w:bookmarkStart w:id="0" w:name="_GoBack"/>
            <w:bookmarkEnd w:id="0"/>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；歌舞娱乐场所接纳未成年人的；游艺娱乐场所设置的电子游戏机在国家法定节假日外向未成年人提供的；从业人员在营业期间未统一着装佩戴工作标志的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p>
        </w:tc>
        <w:tc>
          <w:tcPr>
            <w:tcW w:w="2138" w:type="dxa"/>
            <w:vAlign w:val="center"/>
          </w:tcPr>
          <w:p>
            <w:pPr>
              <w:keepNext w:val="0"/>
              <w:keepLines w:val="0"/>
              <w:widowControl/>
              <w:suppressLineNumbers w:val="0"/>
              <w:jc w:val="left"/>
              <w:rPr>
                <w:rFonts w:hint="default"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keepNext w:val="0"/>
              <w:keepLines w:val="0"/>
              <w:widowControl/>
              <w:suppressLineNumbers w:val="0"/>
              <w:jc w:val="left"/>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对互联网上网服务营业场所的日常监管和专项检查</w:t>
            </w:r>
          </w:p>
          <w:p>
            <w:pPr>
              <w:keepNext w:val="0"/>
              <w:keepLines w:val="0"/>
              <w:widowControl/>
              <w:suppressLineNumbers w:val="0"/>
              <w:jc w:val="left"/>
              <w:rPr>
                <w:rFonts w:hint="default" w:ascii="方正仿宋_GBK" w:hAnsi="方正仿宋_GBK" w:eastAsia="方正仿宋_GBK" w:cs="方正仿宋_GBK"/>
                <w:i w:val="0"/>
                <w:iCs w:val="0"/>
                <w:caps w:val="0"/>
                <w:color w:val="333333"/>
                <w:spacing w:val="0"/>
                <w:kern w:val="0"/>
                <w:sz w:val="21"/>
                <w:szCs w:val="21"/>
                <w:shd w:val="clear" w:fill="FFFFFF"/>
                <w:lang w:val="en-US" w:eastAsia="zh-CN" w:bidi="ar"/>
              </w:rPr>
            </w:pPr>
          </w:p>
        </w:tc>
        <w:tc>
          <w:tcPr>
            <w:tcW w:w="4455" w:type="dxa"/>
            <w:vAlign w:val="center"/>
          </w:tcPr>
          <w:p>
            <w:pPr>
              <w:keepNext w:val="0"/>
              <w:keepLines w:val="0"/>
              <w:widowControl/>
              <w:suppressLineNumbers w:val="0"/>
              <w:jc w:val="left"/>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《互联网上网服务营业场所管理条例》（2022年3月29日第四次修订）</w:t>
            </w:r>
          </w:p>
          <w:p>
            <w:pPr>
              <w:keepNext w:val="0"/>
              <w:keepLines w:val="0"/>
              <w:widowControl/>
              <w:suppressLineNumbers w:val="0"/>
              <w:jc w:val="both"/>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keepNext w:val="0"/>
              <w:keepLines w:val="0"/>
              <w:widowControl/>
              <w:suppressLineNumbers w:val="0"/>
              <w:jc w:val="left"/>
              <w:rPr>
                <w:rFonts w:hint="default" w:ascii="方正仿宋_GBK" w:hAnsi="方正仿宋_GBK" w:eastAsia="方正仿宋_GBK" w:cs="方正仿宋_GBK"/>
                <w:i w:val="0"/>
                <w:iCs w:val="0"/>
                <w:caps w:val="0"/>
                <w:color w:val="333333"/>
                <w:spacing w:val="0"/>
                <w:kern w:val="0"/>
                <w:sz w:val="21"/>
                <w:szCs w:val="21"/>
                <w:shd w:val="clear" w:fill="FFFFFF"/>
                <w:lang w:val="en-US" w:eastAsia="zh-CN" w:bidi="ar"/>
              </w:rPr>
            </w:pPr>
          </w:p>
        </w:tc>
        <w:tc>
          <w:tcPr>
            <w:tcW w:w="1350" w:type="dxa"/>
            <w:vAlign w:val="center"/>
          </w:tcPr>
          <w:p>
            <w:pPr>
              <w:keepNext w:val="0"/>
              <w:keepLines w:val="0"/>
              <w:widowControl/>
              <w:suppressLineNumbers w:val="0"/>
              <w:jc w:val="center"/>
              <w:rPr>
                <w:rFonts w:hint="default"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i w:val="0"/>
                <w:iCs w:val="0"/>
                <w:caps w:val="0"/>
                <w:color w:val="333333"/>
                <w:spacing w:val="0"/>
                <w:sz w:val="21"/>
                <w:szCs w:val="21"/>
                <w:shd w:val="clear" w:fill="FFFFFF"/>
              </w:rPr>
              <w:t>一年</w:t>
            </w:r>
            <w:r>
              <w:rPr>
                <w:rFonts w:hint="eastAsia" w:ascii="方正仿宋_GBK" w:hAnsi="方正仿宋_GBK" w:eastAsia="方正仿宋_GBK" w:cs="方正仿宋_GBK"/>
                <w:i w:val="0"/>
                <w:iCs w:val="0"/>
                <w:caps w:val="0"/>
                <w:color w:val="333333"/>
                <w:spacing w:val="0"/>
                <w:sz w:val="21"/>
                <w:szCs w:val="21"/>
                <w:shd w:val="clear" w:fill="FFFFFF"/>
                <w:lang w:eastAsia="zh-CN"/>
              </w:rPr>
              <w:t>四</w:t>
            </w:r>
            <w:r>
              <w:rPr>
                <w:rFonts w:hint="eastAsia" w:ascii="方正仿宋_GBK" w:hAnsi="方正仿宋_GBK" w:eastAsia="方正仿宋_GBK" w:cs="方正仿宋_GBK"/>
                <w:i w:val="0"/>
                <w:iCs w:val="0"/>
                <w:caps w:val="0"/>
                <w:color w:val="333333"/>
                <w:spacing w:val="0"/>
                <w:sz w:val="21"/>
                <w:szCs w:val="21"/>
                <w:shd w:val="clear" w:fill="FFFFFF"/>
              </w:rPr>
              <w:t>次</w:t>
            </w:r>
          </w:p>
        </w:tc>
        <w:tc>
          <w:tcPr>
            <w:tcW w:w="3090" w:type="dxa"/>
            <w:vAlign w:val="center"/>
          </w:tcPr>
          <w:p>
            <w:pPr>
              <w:keepNext w:val="0"/>
              <w:keepLines w:val="0"/>
              <w:widowControl/>
              <w:suppressLineNumbers w:val="0"/>
              <w:jc w:val="left"/>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一）在规定的营业时间以外营业的；（二）接纳未成年人进入营业场所的；（三）经营非网络游戏的；（四）擅自停止实施经营管理技术措施的；（五）未悬挂《网络文化经营许可证》或者未成年人禁入标志的。（六）向上网消费者提供的计算机未通过局域网的方式接入互联网的；（七）未建立场内巡查制度，或者发现上网消费者的违法行为未予制止并向文化行政部门、公安机关举报的；（八）未按规定核对、登记上网消费者的有效身份证件或者记录有关上网信息的；（九）未按规定时间保存登记内容、记录备份，或者在保存期内修改、删除登记内容、记录备份的；</w:t>
            </w:r>
          </w:p>
          <w:p>
            <w:pPr>
              <w:keepNext w:val="0"/>
              <w:keepLines w:val="0"/>
              <w:widowControl/>
              <w:suppressLineNumbers w:val="0"/>
              <w:jc w:val="left"/>
              <w:rPr>
                <w:rFonts w:hint="default" w:ascii="方正仿宋_GBK" w:hAnsi="方正仿宋_GBK" w:eastAsia="方正仿宋_GBK" w:cs="方正仿宋_GBK"/>
                <w:i w:val="0"/>
                <w:iCs w:val="0"/>
                <w:caps w:val="0"/>
                <w:color w:val="333333"/>
                <w:spacing w:val="0"/>
                <w:kern w:val="0"/>
                <w:sz w:val="21"/>
                <w:szCs w:val="2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21"/>
                <w:szCs w:val="21"/>
                <w:shd w:val="clear" w:fill="FFFFFF"/>
                <w:lang w:val="en-US" w:eastAsia="zh-CN" w:bidi="ar"/>
              </w:rPr>
              <w:t>（十）变更名称、住所、法定代表人或者主要负责人、注册资本、网络地址或者终止经营活动，未向文化行政部门、公安机关办理有关手续或者备案的。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jc w:val="center"/>
              <w:rPr>
                <w:rFonts w:hint="default"/>
                <w:sz w:val="32"/>
                <w:szCs w:val="32"/>
                <w:vertAlign w:val="baseline"/>
                <w:lang w:val="en-US" w:eastAsia="zh-CN"/>
              </w:rPr>
            </w:pPr>
            <w:r>
              <w:rPr>
                <w:rFonts w:hint="eastAsia" w:ascii="方正仿宋_GBK" w:hAnsi="方正仿宋_GBK" w:eastAsia="方正仿宋_GBK" w:cs="方正仿宋_GBK"/>
                <w:sz w:val="21"/>
                <w:szCs w:val="21"/>
                <w:vertAlign w:val="baseline"/>
                <w:lang w:val="en-US" w:eastAsia="zh-CN"/>
              </w:rPr>
              <w:t>3</w:t>
            </w:r>
          </w:p>
        </w:tc>
        <w:tc>
          <w:tcPr>
            <w:tcW w:w="2138" w:type="dxa"/>
            <w:vAlign w:val="center"/>
          </w:tcPr>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对营业性演出的日常监管和专项检查</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c>
          <w:tcPr>
            <w:tcW w:w="445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《营业性演出管理条例》（2020年11月29日第四次修订）</w:t>
            </w:r>
          </w:p>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第五条　国务院文化主管部门主管全国营业性演出的监督管理工作。国务院公安部门、工商行政管理部门在各自职责范围内，主管营业性演出的监督管理工作。</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县级以上地方人民政府文化主管部门负责本行政区域内营业性演出的监督管理工作。县级以上地方人民政府公安部门、工商行政管理部门在各自职责范围内，负责本行政区域内营业性演出的监督管理工作。</w:t>
            </w:r>
          </w:p>
        </w:tc>
        <w:tc>
          <w:tcPr>
            <w:tcW w:w="1350" w:type="dxa"/>
            <w:vAlign w:val="center"/>
          </w:tcPr>
          <w:p>
            <w:pPr>
              <w:keepNext w:val="0"/>
              <w:keepLines w:val="0"/>
              <w:widowControl/>
              <w:suppressLineNumbers w:val="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rPr>
              <w:t>一年</w:t>
            </w:r>
            <w:r>
              <w:rPr>
                <w:rFonts w:hint="eastAsia" w:ascii="方正仿宋_GBK" w:hAnsi="方正仿宋_GBK" w:eastAsia="方正仿宋_GBK" w:cs="方正仿宋_GBK"/>
                <w:i w:val="0"/>
                <w:iCs w:val="0"/>
                <w:caps w:val="0"/>
                <w:color w:val="333333"/>
                <w:spacing w:val="0"/>
                <w:sz w:val="21"/>
                <w:szCs w:val="21"/>
                <w:shd w:val="clear" w:fill="FFFFFF"/>
                <w:lang w:eastAsia="zh-CN"/>
              </w:rPr>
              <w:t>四</w:t>
            </w:r>
            <w:r>
              <w:rPr>
                <w:rFonts w:hint="eastAsia" w:ascii="方正仿宋_GBK" w:hAnsi="方正仿宋_GBK" w:eastAsia="方正仿宋_GBK" w:cs="方正仿宋_GBK"/>
                <w:i w:val="0"/>
                <w:iCs w:val="0"/>
                <w:caps w:val="0"/>
                <w:color w:val="333333"/>
                <w:spacing w:val="0"/>
                <w:sz w:val="21"/>
                <w:szCs w:val="21"/>
                <w:shd w:val="clear" w:fill="FFFFFF"/>
              </w:rPr>
              <w:t>次</w:t>
            </w:r>
          </w:p>
        </w:tc>
        <w:tc>
          <w:tcPr>
            <w:tcW w:w="3090"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未经批准举办营业性演出；营业性演出有《营业性演出管理条例》第二十五条禁止情形的。</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jc w:val="center"/>
              <w:rPr>
                <w:rFonts w:hint="default"/>
                <w:sz w:val="32"/>
                <w:szCs w:val="32"/>
                <w:vertAlign w:val="baseline"/>
                <w:lang w:val="en-US" w:eastAsia="zh-CN"/>
              </w:rPr>
            </w:pPr>
            <w:r>
              <w:rPr>
                <w:rFonts w:hint="eastAsia" w:ascii="方正仿宋_GBK" w:hAnsi="方正仿宋_GBK" w:eastAsia="方正仿宋_GBK" w:cs="方正仿宋_GBK"/>
                <w:sz w:val="21"/>
                <w:szCs w:val="21"/>
                <w:vertAlign w:val="baseline"/>
                <w:lang w:val="en-US" w:eastAsia="zh-CN"/>
              </w:rPr>
              <w:t>4</w:t>
            </w:r>
          </w:p>
        </w:tc>
        <w:tc>
          <w:tcPr>
            <w:tcW w:w="2138" w:type="dxa"/>
            <w:vAlign w:val="center"/>
          </w:tcPr>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对文物保护的日常监管和专项检查</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c>
          <w:tcPr>
            <w:tcW w:w="445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《中华人民共和国文物保护法》（2017年11月4日第五次修正）</w:t>
            </w:r>
          </w:p>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　第八条　国务院文物行政主管部门主管全国文物保护工作。</w:t>
            </w:r>
          </w:p>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　　地方各级人民政府负责本行政区域内的文物保护工作。县级以上地方人民政府承担文物保护工作的部门对本行政区域内的文物保护实施监督管理。</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　　县级以上人民政府有关行政部门在各自的职责范围内，负责有关的文物保护工作。擅自在文物保护单位的保护范围内进行文物保护工程以外的其他建设工程或者爆破、钻探、挖掘等作业；进行大型基本建设工程，或者文物保护单位的保护范围、建设控制地带内进行建设工程，未依法进行考古调查、勘探。</w:t>
            </w:r>
          </w:p>
        </w:tc>
        <w:tc>
          <w:tcPr>
            <w:tcW w:w="1350" w:type="dxa"/>
            <w:vAlign w:val="center"/>
          </w:tcPr>
          <w:p>
            <w:pPr>
              <w:jc w:val="center"/>
              <w:rPr>
                <w:rFonts w:hint="default"/>
                <w:sz w:val="32"/>
                <w:szCs w:val="32"/>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rPr>
              <w:t>一年</w:t>
            </w:r>
            <w:r>
              <w:rPr>
                <w:rFonts w:hint="eastAsia" w:ascii="方正仿宋_GBK" w:hAnsi="方正仿宋_GBK" w:eastAsia="方正仿宋_GBK" w:cs="方正仿宋_GBK"/>
                <w:i w:val="0"/>
                <w:iCs w:val="0"/>
                <w:caps w:val="0"/>
                <w:color w:val="333333"/>
                <w:spacing w:val="0"/>
                <w:sz w:val="21"/>
                <w:szCs w:val="21"/>
                <w:shd w:val="clear" w:fill="FFFFFF"/>
                <w:lang w:eastAsia="zh-CN"/>
              </w:rPr>
              <w:t>四</w:t>
            </w:r>
            <w:r>
              <w:rPr>
                <w:rFonts w:hint="eastAsia" w:ascii="方正仿宋_GBK" w:hAnsi="方正仿宋_GBK" w:eastAsia="方正仿宋_GBK" w:cs="方正仿宋_GBK"/>
                <w:i w:val="0"/>
                <w:iCs w:val="0"/>
                <w:caps w:val="0"/>
                <w:color w:val="333333"/>
                <w:spacing w:val="0"/>
                <w:sz w:val="21"/>
                <w:szCs w:val="21"/>
                <w:shd w:val="clear" w:fill="FFFFFF"/>
              </w:rPr>
              <w:t>次</w:t>
            </w:r>
          </w:p>
        </w:tc>
        <w:tc>
          <w:tcPr>
            <w:tcW w:w="3090"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擅自在文物保护单位的保护范围内进行文物保护工程以外的其他建设工程或者爆破、钻探、挖掘等作业；进行大型基本建设工程，或者文物保护单位的保护范围、建设控制地带内进行建设工程，未依法进行考古调查、勘探。</w:t>
            </w:r>
          </w:p>
          <w:p>
            <w:pPr>
              <w:jc w:val="center"/>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tc>
        <w:tc>
          <w:tcPr>
            <w:tcW w:w="2138"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对出版管理工作的执法检查</w:t>
            </w:r>
          </w:p>
          <w:p>
            <w:pPr>
              <w:jc w:val="center"/>
              <w:rPr>
                <w:rFonts w:hint="default" w:ascii="方正仿宋_GBK" w:hAnsi="方正仿宋_GBK" w:eastAsia="方正仿宋_GBK" w:cs="方正仿宋_GBK"/>
                <w:sz w:val="21"/>
                <w:szCs w:val="21"/>
                <w:vertAlign w:val="baseline"/>
                <w:lang w:val="en-US" w:eastAsia="zh-CN"/>
              </w:rPr>
            </w:pPr>
          </w:p>
        </w:tc>
        <w:tc>
          <w:tcPr>
            <w:tcW w:w="4455"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《出版管理条例》（2020年11月29日第五次修订）</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第六条　国务院出版行政主管部门负责全国的出版活动的监督管理工作。国务院其他有关部门按照国务院规定的职责分工，负责有关的出版活动的监督管理工作。</w:t>
            </w:r>
          </w:p>
          <w:p>
            <w:pPr>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tc>
        <w:tc>
          <w:tcPr>
            <w:tcW w:w="1350"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一年四次</w:t>
            </w:r>
          </w:p>
        </w:tc>
        <w:tc>
          <w:tcPr>
            <w:tcW w:w="309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未经批准，擅自从事出版物发行业务；出版、发行禁止内容的非法出版物的。</w:t>
            </w:r>
          </w:p>
          <w:p>
            <w:pPr>
              <w:jc w:val="center"/>
              <w:rPr>
                <w:rFonts w:hint="default"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w:t>
            </w:r>
          </w:p>
        </w:tc>
        <w:tc>
          <w:tcPr>
            <w:tcW w:w="2138"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对印刷企业印刷经营活动的监督管理工作</w:t>
            </w:r>
          </w:p>
          <w:p>
            <w:pPr>
              <w:jc w:val="center"/>
              <w:rPr>
                <w:rFonts w:hint="default" w:ascii="方正仿宋_GBK" w:hAnsi="方正仿宋_GBK" w:eastAsia="方正仿宋_GBK" w:cs="方正仿宋_GBK"/>
                <w:sz w:val="21"/>
                <w:szCs w:val="21"/>
                <w:vertAlign w:val="baseline"/>
                <w:lang w:val="en-US" w:eastAsia="zh-CN"/>
              </w:rPr>
            </w:pPr>
          </w:p>
        </w:tc>
        <w:tc>
          <w:tcPr>
            <w:tcW w:w="4455" w:type="dxa"/>
            <w:vAlign w:val="center"/>
          </w:tcPr>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《印刷业管理条例》（2020年11月29日第三次修订）</w:t>
            </w:r>
          </w:p>
          <w:p>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第四条　国务院出版行政主管部门主管全国的印刷业监督管理工作。县级以上地方各级人民政府负责出版管理的行政部门(以下简称出版行政部门)负责本行政区域内的印刷业监督管理工作。</w:t>
            </w:r>
          </w:p>
          <w:p>
            <w:pPr>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县级以上各级人民政府公安部门、工商行政管理部门及其他有关部门在各自的职责范围内，负责有关的印刷业监督管理工作。</w:t>
            </w:r>
          </w:p>
        </w:tc>
        <w:tc>
          <w:tcPr>
            <w:tcW w:w="1350" w:type="dxa"/>
            <w:vAlign w:val="center"/>
          </w:tcPr>
          <w:p>
            <w:p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一年四次</w:t>
            </w:r>
          </w:p>
        </w:tc>
        <w:tc>
          <w:tcPr>
            <w:tcW w:w="309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擅自设立从事出版物印刷经营活动的企业或者擅自从事印刷经营活动的；未取得出版行政部门的许可，擅自兼营或者变更从事出版物、包装装潢印刷品或者其他印刷品印刷经营活动的，或者擅自兼并其他印刷经营者的。</w:t>
            </w:r>
          </w:p>
          <w:p>
            <w:pPr>
              <w:jc w:val="center"/>
              <w:rPr>
                <w:rFonts w:hint="default"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907" w:type="dxa"/>
            <w:vAlign w:val="center"/>
          </w:tcPr>
          <w:p>
            <w:pPr>
              <w:keepNext w:val="0"/>
              <w:keepLines w:val="0"/>
              <w:widowControl/>
              <w:suppressLineNumbers w:val="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7</w:t>
            </w:r>
          </w:p>
        </w:tc>
        <w:tc>
          <w:tcPr>
            <w:tcW w:w="2138" w:type="dxa"/>
            <w:vAlign w:val="center"/>
          </w:tcPr>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对卫星地面接收设施接收外国的卫星传送的电视节目的监管检查</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c>
          <w:tcPr>
            <w:tcW w:w="4455" w:type="dxa"/>
            <w:vAlign w:val="center"/>
          </w:tcPr>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卫星地面接收设施接收外国卫星传送电视节目管理办法》（2018年9月18日修订）第三条:“广播电影电视部负责全国卫星地面接收设施接收外国卫星传送的电视节目的管理工作。省、自治区、直辖市广播电视厅（局）负责本行政区内卫星地面接收设施接收外国卫星传送的电视节目的管理工作。” 第十条：“广播电视、公安和国家安全部门负责监督检查卫星地面接收设施接收外国卫星传送的电视节目的管理工作，对违反本办法接收、录制、传播外国卫星传送的电视节目的行为有权予以制止。”</w:t>
            </w:r>
          </w:p>
        </w:tc>
        <w:tc>
          <w:tcPr>
            <w:tcW w:w="1350" w:type="dxa"/>
            <w:vAlign w:val="center"/>
          </w:tcPr>
          <w:p>
            <w:pPr>
              <w:keepNext w:val="0"/>
              <w:keepLines w:val="0"/>
              <w:widowControl/>
              <w:suppressLineNumbers w:val="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rPr>
              <w:t>一年</w:t>
            </w:r>
            <w:r>
              <w:rPr>
                <w:rFonts w:hint="eastAsia" w:ascii="方正仿宋_GBK" w:hAnsi="方正仿宋_GBK" w:eastAsia="方正仿宋_GBK" w:cs="方正仿宋_GBK"/>
                <w:i w:val="0"/>
                <w:iCs w:val="0"/>
                <w:caps w:val="0"/>
                <w:color w:val="333333"/>
                <w:spacing w:val="0"/>
                <w:sz w:val="21"/>
                <w:szCs w:val="21"/>
                <w:shd w:val="clear" w:fill="FFFFFF"/>
                <w:lang w:eastAsia="zh-CN"/>
              </w:rPr>
              <w:t>四</w:t>
            </w:r>
            <w:r>
              <w:rPr>
                <w:rFonts w:hint="eastAsia" w:ascii="方正仿宋_GBK" w:hAnsi="方正仿宋_GBK" w:eastAsia="方正仿宋_GBK" w:cs="方正仿宋_GBK"/>
                <w:i w:val="0"/>
                <w:iCs w:val="0"/>
                <w:caps w:val="0"/>
                <w:color w:val="333333"/>
                <w:spacing w:val="0"/>
                <w:sz w:val="21"/>
                <w:szCs w:val="21"/>
                <w:shd w:val="clear" w:fill="FFFFFF"/>
              </w:rPr>
              <w:t>次</w:t>
            </w:r>
          </w:p>
        </w:tc>
        <w:tc>
          <w:tcPr>
            <w:tcW w:w="3090"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未经批准，卫星地面接收外国卫星传送的电视节目。</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8</w:t>
            </w:r>
          </w:p>
        </w:tc>
        <w:tc>
          <w:tcPr>
            <w:tcW w:w="2138" w:type="dxa"/>
            <w:vAlign w:val="center"/>
          </w:tcPr>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对卫星地面接收设施的安装、使用情况的检查</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c>
          <w:tcPr>
            <w:tcW w:w="445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《＜卫星电视广播地面接收设施管理规定＞实施细则》（广播电影电视部令1994年第11号）第二条国家广播电视总局是卫星电视广播地面接收设施（以下简称卫星地面接收设 施）的归口管理部门，会同公安部、国家安全部负责全国卫星地面接收设施管理工作。</w:t>
            </w:r>
          </w:p>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地方各级广播电视行政部门是当地的卫星地面接收设施的归口管理部门，会同地方各级 公安部门和国家安全部门负责本辖区内的卫星地面接收设施的管理工作。</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广播电视行政部门的职责是对卫星地面接收设施实行归口管理，审批卫星地面接收设施 的设置，组织对卫星地面接收设施的生产、销售、使用情况进行检查；公安机关的职责是查 处抗拒、阻碍管理部门依法执行公务的违法行为，协助管理部门对卫星地面接收设施进行 技术检查；国家安全机关的职责是根据工作需要，依法对单位、个人安装使用的卫星地面接 收设施开展电子查验，防范、发现和打击利用卫星地面接收设施从事危害国家安全的活动。</w:t>
            </w:r>
          </w:p>
        </w:tc>
        <w:tc>
          <w:tcPr>
            <w:tcW w:w="1350" w:type="dxa"/>
            <w:vAlign w:val="center"/>
          </w:tcPr>
          <w:p>
            <w:pPr>
              <w:keepNext w:val="0"/>
              <w:keepLines w:val="0"/>
              <w:widowControl/>
              <w:suppressLineNumbers w:val="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rPr>
              <w:t>一年</w:t>
            </w:r>
            <w:r>
              <w:rPr>
                <w:rFonts w:hint="eastAsia" w:ascii="方正仿宋_GBK" w:hAnsi="方正仿宋_GBK" w:eastAsia="方正仿宋_GBK" w:cs="方正仿宋_GBK"/>
                <w:i w:val="0"/>
                <w:iCs w:val="0"/>
                <w:caps w:val="0"/>
                <w:color w:val="333333"/>
                <w:spacing w:val="0"/>
                <w:sz w:val="21"/>
                <w:szCs w:val="21"/>
                <w:shd w:val="clear" w:fill="FFFFFF"/>
                <w:lang w:eastAsia="zh-CN"/>
              </w:rPr>
              <w:t>四</w:t>
            </w:r>
            <w:r>
              <w:rPr>
                <w:rFonts w:hint="eastAsia" w:ascii="方正仿宋_GBK" w:hAnsi="方正仿宋_GBK" w:eastAsia="方正仿宋_GBK" w:cs="方正仿宋_GBK"/>
                <w:i w:val="0"/>
                <w:iCs w:val="0"/>
                <w:caps w:val="0"/>
                <w:color w:val="333333"/>
                <w:spacing w:val="0"/>
                <w:sz w:val="21"/>
                <w:szCs w:val="21"/>
                <w:shd w:val="clear" w:fill="FFFFFF"/>
              </w:rPr>
              <w:t>次</w:t>
            </w:r>
          </w:p>
        </w:tc>
        <w:tc>
          <w:tcPr>
            <w:tcW w:w="3090"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擅自安装和使用卫星地面接收设施。</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9</w:t>
            </w:r>
          </w:p>
        </w:tc>
        <w:tc>
          <w:tcPr>
            <w:tcW w:w="2138" w:type="dxa"/>
            <w:vAlign w:val="center"/>
          </w:tcPr>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泽州县文化和旅游局</w:t>
            </w:r>
          </w:p>
        </w:tc>
        <w:tc>
          <w:tcPr>
            <w:tcW w:w="253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对旅行社的经营行为及导游和领队等从业人员服务行为的监督检查</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c>
          <w:tcPr>
            <w:tcW w:w="4455"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《中华人民共和国旅游法》</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第八十五条第一款：县级以上人民政府旅游主管部门有权对下列事项实施监督检查：（一）经营旅行社业务以及从事导游、领队服务是否取得经营、执业许可。（二）旅行社的经营行为。</w:t>
            </w:r>
          </w:p>
        </w:tc>
        <w:tc>
          <w:tcPr>
            <w:tcW w:w="1350" w:type="dxa"/>
            <w:vAlign w:val="center"/>
          </w:tcPr>
          <w:p>
            <w:pPr>
              <w:keepNext w:val="0"/>
              <w:keepLines w:val="0"/>
              <w:widowControl/>
              <w:suppressLineNumbers w:val="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rPr>
              <w:t>一年</w:t>
            </w:r>
            <w:r>
              <w:rPr>
                <w:rFonts w:hint="eastAsia" w:ascii="方正仿宋_GBK" w:hAnsi="方正仿宋_GBK" w:eastAsia="方正仿宋_GBK" w:cs="方正仿宋_GBK"/>
                <w:i w:val="0"/>
                <w:iCs w:val="0"/>
                <w:caps w:val="0"/>
                <w:color w:val="333333"/>
                <w:spacing w:val="0"/>
                <w:sz w:val="21"/>
                <w:szCs w:val="21"/>
                <w:shd w:val="clear" w:fill="FFFFFF"/>
                <w:lang w:eastAsia="zh-CN"/>
              </w:rPr>
              <w:t>四</w:t>
            </w:r>
            <w:r>
              <w:rPr>
                <w:rFonts w:hint="eastAsia" w:ascii="方正仿宋_GBK" w:hAnsi="方正仿宋_GBK" w:eastAsia="方正仿宋_GBK" w:cs="方正仿宋_GBK"/>
                <w:i w:val="0"/>
                <w:iCs w:val="0"/>
                <w:caps w:val="0"/>
                <w:color w:val="333333"/>
                <w:spacing w:val="0"/>
                <w:sz w:val="21"/>
                <w:szCs w:val="21"/>
                <w:shd w:val="clear" w:fill="FFFFFF"/>
              </w:rPr>
              <w:t>次</w:t>
            </w:r>
          </w:p>
        </w:tc>
        <w:tc>
          <w:tcPr>
            <w:tcW w:w="3090" w:type="dxa"/>
            <w:vAlign w:val="center"/>
          </w:tcPr>
          <w:p>
            <w:pPr>
              <w:keepNext w:val="0"/>
              <w:keepLines w:val="0"/>
              <w:widowControl/>
              <w:suppressLineNumbers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未经许可经营旅行社业务的；未按规定为出境或者入境团队旅游安排领队或者导游全程陪同的；进行虚假宣传，误导旅游者的。</w:t>
            </w:r>
          </w:p>
          <w:p>
            <w:pPr>
              <w:keepNext w:val="0"/>
              <w:keepLines w:val="0"/>
              <w:widowControl/>
              <w:suppressLineNumbers w:val="0"/>
              <w:jc w:val="left"/>
              <w:rPr>
                <w:rFonts w:hint="default" w:ascii="方正仿宋_GBK" w:hAnsi="方正仿宋_GBK" w:eastAsia="方正仿宋_GBK" w:cs="方正仿宋_GBK"/>
                <w:sz w:val="21"/>
                <w:szCs w:val="21"/>
                <w:vertAlign w:val="baseline"/>
                <w:lang w:val="en-US" w:eastAsia="zh-CN"/>
              </w:rPr>
            </w:pPr>
          </w:p>
        </w:tc>
      </w:tr>
    </w:tbl>
    <w:p>
      <w:pPr>
        <w:rPr>
          <w:rFonts w:hint="default"/>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1236"/>
    <w:rsid w:val="1C104568"/>
    <w:rsid w:val="2B841236"/>
    <w:rsid w:val="30647164"/>
    <w:rsid w:val="48693111"/>
    <w:rsid w:val="4AEECB78"/>
    <w:rsid w:val="55FA75A9"/>
    <w:rsid w:val="597F92B7"/>
    <w:rsid w:val="5BE75E48"/>
    <w:rsid w:val="633D546F"/>
    <w:rsid w:val="6C880B0B"/>
    <w:rsid w:val="73FF9540"/>
    <w:rsid w:val="74C834A3"/>
    <w:rsid w:val="77311A68"/>
    <w:rsid w:val="77E5B9F2"/>
    <w:rsid w:val="7A6235D2"/>
    <w:rsid w:val="7E7F80CB"/>
    <w:rsid w:val="7EA17C3B"/>
    <w:rsid w:val="7FCB112A"/>
    <w:rsid w:val="D7CE29DB"/>
    <w:rsid w:val="DFF7F4B2"/>
    <w:rsid w:val="DFFEDDE7"/>
    <w:rsid w:val="FDFBFA35"/>
    <w:rsid w:val="FF75B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Words>
  <Characters>130</Characters>
  <Lines>0</Lines>
  <Paragraphs>0</Paragraphs>
  <TotalTime>0</TotalTime>
  <ScaleCrop>false</ScaleCrop>
  <LinksUpToDate>false</LinksUpToDate>
  <CharactersWithSpaces>130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2025-02-26T07:38:00Z</dcterms:created>
  <dc:creator>Administrator</dc:creator>
  <cp:lastModifiedBy>zz001</cp:lastModifiedBy>
  <dcterms:modified xsi:type="dcterms:W3CDTF">2025-03-03T16:43:27Z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313247C282F3409AA37288F1BE6B6A0F_11</vt:lpwstr>
  </property>
  <property fmtid="{D5CDD505-2E9C-101B-9397-08002B2CF9AE}" pid="4" name="KSOTemplateDocerSaveRecord">
    <vt:lpwstr>eyJoZGlkIjoiOTVlNTE4Yzk3NjdmZjEzMzkyZjEyNjY5ZTZhMjhkZjcifQ==</vt:lpwstr>
  </property>
</Properties>
</file>