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F44D2">
      <w:pPr>
        <w:jc w:val="center"/>
        <w:rPr>
          <w:rFonts w:hint="eastAsia"/>
          <w:sz w:val="44"/>
          <w:szCs w:val="44"/>
          <w:lang w:val="en-US" w:eastAsia="zh-CN"/>
        </w:rPr>
      </w:pPr>
      <w:r>
        <w:rPr>
          <w:rFonts w:hint="eastAsia" w:ascii="宋体" w:hAnsi="宋体" w:cs="宋体"/>
          <w:b w:val="0"/>
          <w:bCs w:val="0"/>
          <w:color w:val="auto"/>
          <w:kern w:val="36"/>
          <w:sz w:val="32"/>
          <w:szCs w:val="32"/>
          <w:lang w:val="en-US" w:eastAsia="zh-CN"/>
        </w:rPr>
        <w:t xml:space="preserve"> </w:t>
      </w:r>
      <w:r>
        <w:rPr>
          <w:rFonts w:hint="eastAsia"/>
          <w:sz w:val="44"/>
          <w:szCs w:val="44"/>
          <w:lang w:val="en-US" w:eastAsia="zh-CN"/>
        </w:rPr>
        <w:t>泽州县卫体局涉企行政检查公示信息</w:t>
      </w:r>
    </w:p>
    <w:p w14:paraId="3F441AD8">
      <w:pPr>
        <w:jc w:val="center"/>
        <w:rPr>
          <w:rFonts w:hint="eastAsia"/>
          <w:sz w:val="44"/>
          <w:szCs w:val="44"/>
          <w:lang w:val="en-US" w:eastAsia="zh-CN"/>
        </w:rPr>
      </w:pPr>
    </w:p>
    <w:p w14:paraId="4AF59050">
      <w:pPr>
        <w:jc w:val="both"/>
        <w:rPr>
          <w:rFonts w:hint="eastAsia"/>
          <w:sz w:val="32"/>
          <w:szCs w:val="32"/>
          <w:lang w:val="en-US" w:eastAsia="zh-CN"/>
        </w:rPr>
      </w:pPr>
      <w:r>
        <w:rPr>
          <w:rFonts w:hint="eastAsia"/>
          <w:sz w:val="32"/>
          <w:szCs w:val="32"/>
          <w:lang w:val="en-US" w:eastAsia="zh-CN"/>
        </w:rPr>
        <w:t>（盖章）</w:t>
      </w:r>
    </w:p>
    <w:tbl>
      <w:tblPr>
        <w:tblStyle w:val="5"/>
        <w:tblW w:w="14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1464"/>
        <w:gridCol w:w="1970"/>
        <w:gridCol w:w="2530"/>
        <w:gridCol w:w="958"/>
        <w:gridCol w:w="7102"/>
      </w:tblGrid>
      <w:tr w14:paraId="1B812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14:paraId="396668B4">
            <w:pPr>
              <w:jc w:val="center"/>
              <w:rPr>
                <w:rFonts w:hint="default"/>
                <w:sz w:val="32"/>
                <w:szCs w:val="32"/>
                <w:lang w:val="en-US" w:eastAsia="zh-CN"/>
              </w:rPr>
            </w:pPr>
            <w:r>
              <w:rPr>
                <w:rFonts w:hint="eastAsia"/>
                <w:sz w:val="32"/>
                <w:szCs w:val="32"/>
                <w:lang w:val="en-US" w:eastAsia="zh-CN"/>
              </w:rPr>
              <w:t>序号</w:t>
            </w:r>
          </w:p>
        </w:tc>
        <w:tc>
          <w:tcPr>
            <w:tcW w:w="1464" w:type="dxa"/>
            <w:vAlign w:val="center"/>
          </w:tcPr>
          <w:p w14:paraId="02BF65A8">
            <w:pPr>
              <w:jc w:val="center"/>
              <w:rPr>
                <w:rFonts w:hint="default"/>
                <w:sz w:val="32"/>
                <w:szCs w:val="32"/>
                <w:lang w:val="en-US" w:eastAsia="zh-CN"/>
              </w:rPr>
            </w:pPr>
            <w:r>
              <w:rPr>
                <w:rFonts w:hint="eastAsia"/>
                <w:sz w:val="32"/>
                <w:szCs w:val="32"/>
                <w:lang w:val="en-US" w:eastAsia="zh-CN"/>
              </w:rPr>
              <w:t>检查主体</w:t>
            </w:r>
          </w:p>
        </w:tc>
        <w:tc>
          <w:tcPr>
            <w:tcW w:w="1970" w:type="dxa"/>
            <w:vAlign w:val="center"/>
          </w:tcPr>
          <w:p w14:paraId="6E11F32A">
            <w:pPr>
              <w:jc w:val="center"/>
              <w:rPr>
                <w:rFonts w:hint="default"/>
                <w:sz w:val="32"/>
                <w:szCs w:val="32"/>
                <w:lang w:val="en-US" w:eastAsia="zh-CN"/>
              </w:rPr>
            </w:pPr>
            <w:r>
              <w:rPr>
                <w:rFonts w:hint="eastAsia"/>
                <w:sz w:val="32"/>
                <w:szCs w:val="32"/>
                <w:lang w:val="en-US" w:eastAsia="zh-CN"/>
              </w:rPr>
              <w:t>检查事项</w:t>
            </w:r>
          </w:p>
        </w:tc>
        <w:tc>
          <w:tcPr>
            <w:tcW w:w="2530" w:type="dxa"/>
            <w:vAlign w:val="center"/>
          </w:tcPr>
          <w:p w14:paraId="6817CCA3">
            <w:pPr>
              <w:jc w:val="center"/>
              <w:rPr>
                <w:rFonts w:hint="default"/>
                <w:sz w:val="32"/>
                <w:szCs w:val="32"/>
                <w:lang w:val="en-US" w:eastAsia="zh-CN"/>
              </w:rPr>
            </w:pPr>
            <w:r>
              <w:rPr>
                <w:rFonts w:hint="eastAsia"/>
                <w:sz w:val="32"/>
                <w:szCs w:val="32"/>
                <w:lang w:val="en-US" w:eastAsia="zh-CN"/>
              </w:rPr>
              <w:t>法律依据</w:t>
            </w:r>
          </w:p>
        </w:tc>
        <w:tc>
          <w:tcPr>
            <w:tcW w:w="958" w:type="dxa"/>
            <w:vAlign w:val="center"/>
          </w:tcPr>
          <w:p w14:paraId="628DF910">
            <w:pPr>
              <w:jc w:val="center"/>
              <w:rPr>
                <w:rFonts w:hint="default"/>
                <w:sz w:val="32"/>
                <w:szCs w:val="32"/>
                <w:lang w:val="en-US" w:eastAsia="zh-CN"/>
              </w:rPr>
            </w:pPr>
            <w:r>
              <w:rPr>
                <w:rFonts w:hint="eastAsia"/>
                <w:sz w:val="32"/>
                <w:szCs w:val="32"/>
                <w:lang w:val="en-US" w:eastAsia="zh-CN"/>
              </w:rPr>
              <w:t>频次上限</w:t>
            </w:r>
          </w:p>
        </w:tc>
        <w:tc>
          <w:tcPr>
            <w:tcW w:w="7102" w:type="dxa"/>
            <w:vAlign w:val="center"/>
          </w:tcPr>
          <w:p w14:paraId="4C7A4D59">
            <w:pPr>
              <w:jc w:val="center"/>
              <w:rPr>
                <w:rFonts w:hint="default"/>
                <w:sz w:val="32"/>
                <w:szCs w:val="32"/>
                <w:lang w:val="en-US" w:eastAsia="zh-CN"/>
              </w:rPr>
            </w:pPr>
            <w:r>
              <w:rPr>
                <w:rFonts w:hint="eastAsia"/>
                <w:sz w:val="32"/>
                <w:szCs w:val="32"/>
                <w:lang w:val="en-US" w:eastAsia="zh-CN"/>
              </w:rPr>
              <w:t>检查标准</w:t>
            </w:r>
          </w:p>
        </w:tc>
      </w:tr>
      <w:tr w14:paraId="0210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1" w:hRule="atLeast"/>
        </w:trPr>
        <w:tc>
          <w:tcPr>
            <w:tcW w:w="500" w:type="dxa"/>
            <w:vAlign w:val="center"/>
          </w:tcPr>
          <w:p w14:paraId="1041A80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464" w:type="dxa"/>
            <w:vAlign w:val="center"/>
          </w:tcPr>
          <w:p w14:paraId="15F56D8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泽州县卫体局</w:t>
            </w:r>
          </w:p>
          <w:p w14:paraId="6EF4EA79">
            <w:pPr>
              <w:jc w:val="center"/>
              <w:rPr>
                <w:rFonts w:hint="eastAsia" w:ascii="仿宋" w:hAnsi="仿宋" w:eastAsia="仿宋" w:cs="仿宋"/>
                <w:sz w:val="24"/>
                <w:szCs w:val="24"/>
                <w:lang w:val="en-US" w:eastAsia="zh-CN"/>
              </w:rPr>
            </w:pPr>
          </w:p>
        </w:tc>
        <w:tc>
          <w:tcPr>
            <w:tcW w:w="1970" w:type="dxa"/>
            <w:vAlign w:val="center"/>
          </w:tcPr>
          <w:p w14:paraId="44DC66C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取得《卫生许可证》的各类公共场所资质、人员健康证等。</w:t>
            </w:r>
          </w:p>
        </w:tc>
        <w:tc>
          <w:tcPr>
            <w:tcW w:w="2530" w:type="dxa"/>
            <w:vAlign w:val="center"/>
          </w:tcPr>
          <w:p w14:paraId="49DF01A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《公共场所卫生管理条例》（2024 年 11 月 22 日国务院令第 797 号第三次修订）第十条、第十二条《公共场所卫生管理条例实施细则》（卫生部令第 80 号）第三条</w:t>
            </w:r>
          </w:p>
        </w:tc>
        <w:tc>
          <w:tcPr>
            <w:tcW w:w="958" w:type="dxa"/>
            <w:vAlign w:val="center"/>
          </w:tcPr>
          <w:p w14:paraId="3B85525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年度内开展检查1次</w:t>
            </w:r>
          </w:p>
        </w:tc>
        <w:tc>
          <w:tcPr>
            <w:tcW w:w="7102" w:type="dxa"/>
            <w:vAlign w:val="center"/>
          </w:tcPr>
          <w:p w14:paraId="0AF82E8C">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1"/>
                <w:szCs w:val="21"/>
                <w:lang w:val="en-US" w:eastAsia="zh-CN"/>
              </w:rPr>
              <w:t>【轻微】未依法取得公共场所卫生许可证擅自营业时间为一个月以下的。未获得有效健康合格证明从事直接为顾客服务工作的从业人员人数为 2 人及以下的。【一般】未依法取得公共场所卫生许可证擅自营业时间为一个月以上三个月以下的。未获得有效健康合格证明从事直接为顾客服务工作的从业人员人数为 3 人以上的。【较重】未依法取得公共场所卫生许可证擅自营业,有下列情形之一的:A. 擅自营业曾受过卫生行政部门处罚一次的;B. 无证擅自营业时间为三个月以上六个月以下的;C. 以涂改、转让的卫生许可证擅自营业的。公共场所安排未获得有效健康合格证明从事直接为顾客服务工作,经责令限期改正,逾期仍安排未获得有效健康合格证明从事直接为顾客服务工作的从业人员人数为 2人以下的。【严重】未依法取得公共场所卫生许可证擅自营业,有下列情形之一的:A. 擅自营业曾受过卫生行政部门处罚二次及以上的;B. 无证擅自营业时间为六个月以上的;C. 以倒卖、伪造的卫生许可证擅自营业的</w:t>
            </w:r>
            <w:r>
              <w:rPr>
                <w:rFonts w:hint="default" w:ascii="仿宋" w:hAnsi="仿宋" w:eastAsia="仿宋" w:cs="仿宋"/>
                <w:sz w:val="21"/>
                <w:szCs w:val="21"/>
                <w:lang w:val="en-US" w:eastAsia="zh-CN"/>
              </w:rPr>
              <w:t>;公共场所安排未获得有效健康合格证明从事直接为顾客服务工作,经责令限期改正,逾期仍安排未获得有效健康合格证明从事</w:t>
            </w:r>
            <w:bookmarkStart w:id="0" w:name="_GoBack"/>
            <w:bookmarkEnd w:id="0"/>
            <w:r>
              <w:rPr>
                <w:rFonts w:hint="default" w:ascii="仿宋" w:hAnsi="仿宋" w:eastAsia="仿宋" w:cs="仿宋"/>
                <w:sz w:val="21"/>
                <w:szCs w:val="21"/>
                <w:lang w:val="en-US" w:eastAsia="zh-CN"/>
              </w:rPr>
              <w:t>直接为顾客服务工作的从业人员人数为 3人以上的。</w:t>
            </w:r>
          </w:p>
        </w:tc>
      </w:tr>
      <w:tr w14:paraId="5BE6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5" w:hRule="atLeast"/>
        </w:trPr>
        <w:tc>
          <w:tcPr>
            <w:tcW w:w="500" w:type="dxa"/>
            <w:vAlign w:val="center"/>
          </w:tcPr>
          <w:p w14:paraId="545F9ED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464" w:type="dxa"/>
            <w:vAlign w:val="center"/>
          </w:tcPr>
          <w:p w14:paraId="2F9F490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泽州县卫体局</w:t>
            </w:r>
          </w:p>
          <w:p w14:paraId="1E17711B">
            <w:pPr>
              <w:jc w:val="center"/>
              <w:rPr>
                <w:rFonts w:hint="eastAsia" w:ascii="仿宋" w:hAnsi="仿宋" w:eastAsia="仿宋" w:cs="仿宋"/>
                <w:sz w:val="24"/>
                <w:szCs w:val="24"/>
                <w:lang w:val="en-US" w:eastAsia="zh-CN"/>
              </w:rPr>
            </w:pPr>
          </w:p>
        </w:tc>
        <w:tc>
          <w:tcPr>
            <w:tcW w:w="1970" w:type="dxa"/>
            <w:vAlign w:val="center"/>
          </w:tcPr>
          <w:p w14:paraId="60703EEF">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生活饮用水供水单位资质、人员健康证等。</w:t>
            </w:r>
          </w:p>
        </w:tc>
        <w:tc>
          <w:tcPr>
            <w:tcW w:w="2530" w:type="dxa"/>
            <w:vAlign w:val="center"/>
          </w:tcPr>
          <w:p w14:paraId="2C6179D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《生活饮用水卫生监督管理办法》（1996 年建设部、卫生部令第 53 号发布，2016 年国家住房和城乡建设部、国家卫生计生委令第 31 号第二次修订）第三条、第十六条</w:t>
            </w:r>
          </w:p>
        </w:tc>
        <w:tc>
          <w:tcPr>
            <w:tcW w:w="958" w:type="dxa"/>
            <w:vAlign w:val="center"/>
          </w:tcPr>
          <w:p w14:paraId="70F3262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年度内开展检查1次</w:t>
            </w:r>
          </w:p>
        </w:tc>
        <w:tc>
          <w:tcPr>
            <w:tcW w:w="7102" w:type="dxa"/>
            <w:vAlign w:val="center"/>
          </w:tcPr>
          <w:p w14:paraId="6F3E9A9B">
            <w:p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【轻微】安排 1 名未取得体检合格证的人员从事直接供、管水工作的。【一般】卫生许可证到期 1 个月内,未重新办理卫生许可证的</w:t>
            </w:r>
            <w:r>
              <w:rPr>
                <w:rFonts w:hint="default" w:ascii="仿宋" w:hAnsi="仿宋" w:eastAsia="仿宋" w:cs="仿宋"/>
                <w:sz w:val="21"/>
                <w:szCs w:val="21"/>
                <w:lang w:val="en-US" w:eastAsia="zh-CN"/>
              </w:rPr>
              <w:t>;</w:t>
            </w:r>
            <w:r>
              <w:rPr>
                <w:rFonts w:hint="eastAsia" w:ascii="仿宋" w:hAnsi="仿宋" w:eastAsia="仿宋" w:cs="仿宋"/>
                <w:sz w:val="21"/>
                <w:szCs w:val="21"/>
                <w:lang w:val="en-US" w:eastAsia="zh-CN"/>
              </w:rPr>
              <w:t>安排 2 名以上未取得体检合格证的人员从事直接供、管水工作的。【严重】卫生许可证到期 1 个月以上未重新办理卫生许可证的</w:t>
            </w:r>
            <w:r>
              <w:rPr>
                <w:rFonts w:hint="default" w:ascii="仿宋" w:hAnsi="仿宋" w:eastAsia="仿宋" w:cs="仿宋"/>
                <w:sz w:val="21"/>
                <w:szCs w:val="21"/>
                <w:lang w:val="en-US" w:eastAsia="zh-CN"/>
              </w:rPr>
              <w:t>;</w:t>
            </w:r>
            <w:r>
              <w:rPr>
                <w:rFonts w:hint="eastAsia" w:ascii="仿宋" w:hAnsi="仿宋" w:eastAsia="仿宋" w:cs="仿宋"/>
                <w:sz w:val="21"/>
                <w:szCs w:val="21"/>
                <w:lang w:val="en-US" w:eastAsia="zh-CN"/>
              </w:rPr>
              <w:t>安排患有有碍饮用水卫生疾病的或病原携带者从事直接供、管水工作的。</w:t>
            </w:r>
          </w:p>
          <w:p w14:paraId="5D0C60D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tc>
      </w:tr>
      <w:tr w14:paraId="02B17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8" w:hRule="atLeast"/>
        </w:trPr>
        <w:tc>
          <w:tcPr>
            <w:tcW w:w="500" w:type="dxa"/>
            <w:vAlign w:val="center"/>
          </w:tcPr>
          <w:p w14:paraId="390B0F9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464" w:type="dxa"/>
            <w:vAlign w:val="center"/>
          </w:tcPr>
          <w:p w14:paraId="2F657AA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泽州县卫体局</w:t>
            </w:r>
          </w:p>
        </w:tc>
        <w:tc>
          <w:tcPr>
            <w:tcW w:w="1970" w:type="dxa"/>
            <w:vAlign w:val="center"/>
          </w:tcPr>
          <w:p w14:paraId="31A644A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用人单位未按照规定及时、如实向卫生行政部门申报产生职业病危害的项目</w:t>
            </w:r>
          </w:p>
        </w:tc>
        <w:tc>
          <w:tcPr>
            <w:tcW w:w="2530" w:type="dxa"/>
            <w:vAlign w:val="center"/>
          </w:tcPr>
          <w:p w14:paraId="65D2862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《职业病防治法》第七十一条第一项</w:t>
            </w:r>
          </w:p>
        </w:tc>
        <w:tc>
          <w:tcPr>
            <w:tcW w:w="958" w:type="dxa"/>
            <w:vAlign w:val="center"/>
          </w:tcPr>
          <w:p w14:paraId="5B69E6D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年度内开展检查1次</w:t>
            </w:r>
          </w:p>
        </w:tc>
        <w:tc>
          <w:tcPr>
            <w:tcW w:w="7102" w:type="dxa"/>
            <w:vAlign w:val="center"/>
          </w:tcPr>
          <w:p w14:paraId="1F05C72D">
            <w:pPr>
              <w:numPr>
                <w:ilvl w:val="0"/>
                <w:numId w:val="1"/>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未及时申报新建/改建/扩建项目：竣工验收前未申报项目发生重大变化（工艺/材料/危害因素/规模），30日内未变更申报</w:t>
            </w:r>
          </w:p>
          <w:p w14:paraId="1450A183">
            <w:pPr>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 未如实申报未申报实际存在的危害因素（粉尘、噪声、毒物、辐射等）</w:t>
            </w:r>
          </w:p>
          <w:p w14:paraId="27F95992">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 申报程序不合规未向属地卫生健康部门申报，未通过职业病危害项目申报系统网上申报</w:t>
            </w:r>
          </w:p>
        </w:tc>
      </w:tr>
      <w:tr w14:paraId="60092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4" w:hRule="atLeast"/>
        </w:trPr>
        <w:tc>
          <w:tcPr>
            <w:tcW w:w="500" w:type="dxa"/>
            <w:vAlign w:val="center"/>
          </w:tcPr>
          <w:p w14:paraId="2DC3D71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464" w:type="dxa"/>
            <w:vAlign w:val="center"/>
          </w:tcPr>
          <w:p w14:paraId="1333A4E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泽州县卫体局</w:t>
            </w:r>
          </w:p>
        </w:tc>
        <w:tc>
          <w:tcPr>
            <w:tcW w:w="1970" w:type="dxa"/>
            <w:vAlign w:val="center"/>
          </w:tcPr>
          <w:p w14:paraId="15F8209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建设单位未按照规定对职业病防护设施进行职业病危害控制效果评价</w:t>
            </w:r>
          </w:p>
        </w:tc>
        <w:tc>
          <w:tcPr>
            <w:tcW w:w="2530" w:type="dxa"/>
            <w:vAlign w:val="center"/>
          </w:tcPr>
          <w:p w14:paraId="77FCA5E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《职业病防治法》第六十九条第五项</w:t>
            </w:r>
          </w:p>
        </w:tc>
        <w:tc>
          <w:tcPr>
            <w:tcW w:w="958" w:type="dxa"/>
            <w:vAlign w:val="center"/>
          </w:tcPr>
          <w:p w14:paraId="3AB9390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年度内开展检查1次</w:t>
            </w:r>
          </w:p>
        </w:tc>
        <w:tc>
          <w:tcPr>
            <w:tcW w:w="7102" w:type="dxa"/>
            <w:vAlign w:val="center"/>
          </w:tcPr>
          <w:p w14:paraId="2FA8E9E2">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1、建设项目是否在竣工验收前或试运行期间完成评价并编制报告。</w:t>
            </w:r>
          </w:p>
          <w:p w14:paraId="42392E39">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2、是否委托具备资质的机构开展评价，评价报告是否包含项目概况、防护设施设计执行及运行情况、危害因素检测分析等核心内容。是否留存评价报告、评审记录、相关检测数据等备查文件。</w:t>
            </w:r>
          </w:p>
        </w:tc>
      </w:tr>
      <w:tr w14:paraId="0AF8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500" w:type="dxa"/>
            <w:vAlign w:val="center"/>
          </w:tcPr>
          <w:p w14:paraId="2ADC31F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464" w:type="dxa"/>
            <w:vAlign w:val="center"/>
          </w:tcPr>
          <w:p w14:paraId="60AB1E6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泽州县卫体局</w:t>
            </w:r>
          </w:p>
        </w:tc>
        <w:tc>
          <w:tcPr>
            <w:tcW w:w="1970" w:type="dxa"/>
            <w:vAlign w:val="center"/>
          </w:tcPr>
          <w:p w14:paraId="13DED62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用人单位未依照本法规定在劳动者离开用人单位时提供职业健康监护档案复印件</w:t>
            </w:r>
          </w:p>
        </w:tc>
        <w:tc>
          <w:tcPr>
            <w:tcW w:w="2530" w:type="dxa"/>
            <w:vAlign w:val="center"/>
          </w:tcPr>
          <w:p w14:paraId="334AD49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《职业病防治法》第七十一条第五项</w:t>
            </w:r>
          </w:p>
        </w:tc>
        <w:tc>
          <w:tcPr>
            <w:tcW w:w="958" w:type="dxa"/>
            <w:vAlign w:val="center"/>
          </w:tcPr>
          <w:p w14:paraId="3228F4FF">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年度内开展检查1次</w:t>
            </w:r>
          </w:p>
        </w:tc>
        <w:tc>
          <w:tcPr>
            <w:tcW w:w="7102" w:type="dxa"/>
            <w:vAlign w:val="center"/>
          </w:tcPr>
          <w:p w14:paraId="44E389D4">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1、劳动者离开用人单位（离职、退休、解除/终止合同、调离危害岗位）</w:t>
            </w:r>
          </w:p>
          <w:p w14:paraId="01A26C03">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2、复印件与档案原件内容一致，无隐瞒、篡改、遗漏</w:t>
            </w:r>
          </w:p>
          <w:p w14:paraId="0850C24F">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3、复印件加盖用人单位公章或人事/职业卫生管理专用章</w:t>
            </w:r>
          </w:p>
        </w:tc>
      </w:tr>
      <w:tr w14:paraId="32331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8" w:hRule="atLeast"/>
        </w:trPr>
        <w:tc>
          <w:tcPr>
            <w:tcW w:w="500" w:type="dxa"/>
            <w:vAlign w:val="center"/>
          </w:tcPr>
          <w:p w14:paraId="476B868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464" w:type="dxa"/>
            <w:vAlign w:val="center"/>
          </w:tcPr>
          <w:p w14:paraId="22014B2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泽州县卫体局</w:t>
            </w:r>
          </w:p>
        </w:tc>
        <w:tc>
          <w:tcPr>
            <w:tcW w:w="1970" w:type="dxa"/>
            <w:vAlign w:val="center"/>
          </w:tcPr>
          <w:p w14:paraId="3A6C825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用人单位未按照规</w:t>
            </w:r>
          </w:p>
          <w:p w14:paraId="605C487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定对工作场所职业</w:t>
            </w:r>
          </w:p>
          <w:p w14:paraId="4C66999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病危害因素进行检</w:t>
            </w:r>
          </w:p>
          <w:p w14:paraId="02E9267F">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测、评价</w:t>
            </w:r>
          </w:p>
        </w:tc>
        <w:tc>
          <w:tcPr>
            <w:tcW w:w="2530" w:type="dxa"/>
            <w:vAlign w:val="center"/>
          </w:tcPr>
          <w:p w14:paraId="41AC5B4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《职业病防治法》第七十二条第四项：</w:t>
            </w:r>
          </w:p>
        </w:tc>
        <w:tc>
          <w:tcPr>
            <w:tcW w:w="958" w:type="dxa"/>
            <w:vAlign w:val="center"/>
          </w:tcPr>
          <w:p w14:paraId="79DB13A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年度内开展检查1次</w:t>
            </w:r>
          </w:p>
        </w:tc>
        <w:tc>
          <w:tcPr>
            <w:tcW w:w="7102" w:type="dxa"/>
            <w:vAlign w:val="center"/>
          </w:tcPr>
          <w:p w14:paraId="6E9FBEEB">
            <w:pPr>
              <w:numPr>
                <w:ilvl w:val="0"/>
                <w:numId w:val="2"/>
              </w:numPr>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危害严重：每年至少1次检测、每3年至少1次现状评价</w:t>
            </w:r>
            <w:r>
              <w:rPr>
                <w:rFonts w:hint="default" w:ascii="仿宋" w:hAnsi="仿宋" w:eastAsia="仿宋" w:cs="仿宋"/>
                <w:sz w:val="24"/>
                <w:szCs w:val="24"/>
                <w:lang w:val="en-US" w:eastAsia="zh-CN"/>
              </w:rPr>
              <w:t>;</w:t>
            </w:r>
          </w:p>
          <w:p w14:paraId="1EEF3C74">
            <w:pPr>
              <w:numPr>
                <w:ilvl w:val="0"/>
                <w:numId w:val="0"/>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2、危害一般：每3年至少1次检测</w:t>
            </w:r>
            <w:r>
              <w:rPr>
                <w:rFonts w:hint="default" w:ascii="仿宋" w:hAnsi="仿宋" w:eastAsia="仿宋" w:cs="仿宋"/>
                <w:sz w:val="24"/>
                <w:szCs w:val="24"/>
                <w:lang w:val="en-US" w:eastAsia="zh-CN"/>
              </w:rPr>
              <w:t>,</w:t>
            </w:r>
            <w:r>
              <w:rPr>
                <w:rFonts w:hint="eastAsia" w:ascii="仿宋" w:hAnsi="仿宋" w:eastAsia="仿宋" w:cs="仿宋"/>
                <w:sz w:val="24"/>
                <w:szCs w:val="24"/>
                <w:lang w:val="en-US" w:eastAsia="zh-CN"/>
              </w:rPr>
              <w:t>必须委托取得资质的职业卫生技术服务机构开展。</w:t>
            </w:r>
          </w:p>
        </w:tc>
      </w:tr>
      <w:tr w14:paraId="79621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500" w:type="dxa"/>
            <w:vAlign w:val="center"/>
          </w:tcPr>
          <w:p w14:paraId="632E492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464" w:type="dxa"/>
            <w:vAlign w:val="center"/>
          </w:tcPr>
          <w:p w14:paraId="580641A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泽州县卫体局</w:t>
            </w:r>
          </w:p>
        </w:tc>
        <w:tc>
          <w:tcPr>
            <w:tcW w:w="1970" w:type="dxa"/>
            <w:vAlign w:val="center"/>
          </w:tcPr>
          <w:p w14:paraId="6951BF2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用人单位未按照规</w:t>
            </w:r>
          </w:p>
          <w:p w14:paraId="6225E59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定安排职业病病</w:t>
            </w:r>
          </w:p>
          <w:p w14:paraId="5485938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人、疑似职业病病</w:t>
            </w:r>
          </w:p>
          <w:p w14:paraId="73D813E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人进行诊治</w:t>
            </w:r>
          </w:p>
        </w:tc>
        <w:tc>
          <w:tcPr>
            <w:tcW w:w="2530" w:type="dxa"/>
            <w:vAlign w:val="center"/>
          </w:tcPr>
          <w:p w14:paraId="45F76BE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《职业病防治法》第七十二条第六项</w:t>
            </w:r>
          </w:p>
        </w:tc>
        <w:tc>
          <w:tcPr>
            <w:tcW w:w="958" w:type="dxa"/>
            <w:vAlign w:val="center"/>
          </w:tcPr>
          <w:p w14:paraId="5965768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年度内开展检查1次</w:t>
            </w:r>
          </w:p>
        </w:tc>
        <w:tc>
          <w:tcPr>
            <w:tcW w:w="7102" w:type="dxa"/>
            <w:vAlign w:val="center"/>
          </w:tcPr>
          <w:p w14:paraId="313A8F15">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收到体检机构《疑似职业病告知书》后，立即安排到有资质的职业病诊断机构诊断</w:t>
            </w:r>
            <w:r>
              <w:rPr>
                <w:rFonts w:hint="default" w:ascii="仿宋" w:hAnsi="仿宋" w:eastAsia="仿宋" w:cs="仿宋"/>
                <w:sz w:val="24"/>
                <w:szCs w:val="24"/>
                <w:lang w:val="en-US" w:eastAsia="zh-CN"/>
              </w:rPr>
              <w:t>,</w:t>
            </w:r>
            <w:r>
              <w:rPr>
                <w:rFonts w:hint="eastAsia" w:ascii="仿宋" w:hAnsi="仿宋" w:eastAsia="仿宋" w:cs="仿宋"/>
                <w:sz w:val="24"/>
                <w:szCs w:val="24"/>
                <w:lang w:val="en-US" w:eastAsia="zh-CN"/>
              </w:rPr>
              <w:t>诊断/观察期间不得解除/终止劳动合同，承担全部费用（诊断、检查、观察）</w:t>
            </w:r>
          </w:p>
        </w:tc>
      </w:tr>
    </w:tbl>
    <w:p w14:paraId="54A359F5">
      <w:pPr>
        <w:rPr>
          <w:lang w:val="en-US"/>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auto"/>
    <w:pitch w:val="default"/>
    <w:sig w:usb0="00000000" w:usb1="00000000" w:usb2="00000029" w:usb3="00000000" w:csb0="200101FF" w:csb1="20280000"/>
  </w:font>
  <w:font w:name="微软雅黑">
    <w:altName w:val="黑体"/>
    <w:panose1 w:val="020B0503020204020204"/>
    <w:charset w:val="86"/>
    <w:family w:val="auto"/>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A25670"/>
    <w:multiLevelType w:val="singleLevel"/>
    <w:tmpl w:val="69A25670"/>
    <w:lvl w:ilvl="0" w:tentative="0">
      <w:start w:val="1"/>
      <w:numFmt w:val="decimal"/>
      <w:suff w:val="space"/>
      <w:lvlText w:val="%1."/>
      <w:lvlJc w:val="left"/>
    </w:lvl>
  </w:abstractNum>
  <w:abstractNum w:abstractNumId="1">
    <w:nsid w:val="69A257CC"/>
    <w:multiLevelType w:val="singleLevel"/>
    <w:tmpl w:val="69A257C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AFCFE1B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qFormat/>
    <w:uiPriority w:val="0"/>
    <w:pPr>
      <w:widowControl/>
      <w:adjustRightInd w:val="0"/>
      <w:snapToGrid w:val="0"/>
      <w:spacing w:before="100" w:beforeAutospacing="1" w:after="100" w:afterAutospacing="1"/>
      <w:jc w:val="left"/>
    </w:pPr>
    <w:rPr>
      <w:rFonts w:ascii="Tahoma" w:hAnsi="Tahoma" w:eastAsia="微软雅黑" w:cs="黑体"/>
      <w:kern w:val="0"/>
      <w:sz w:val="24"/>
    </w:rPr>
  </w:style>
  <w:style w:type="character" w:customStyle="1" w:styleId="7">
    <w:name w:val="font71"/>
    <w:basedOn w:val="6"/>
    <w:qFormat/>
    <w:uiPriority w:val="0"/>
    <w:rPr>
      <w:rFonts w:hint="eastAsia" w:ascii="仿宋_GB2312" w:eastAsia="仿宋_GB2312" w:cs="仿宋_GB2312"/>
      <w:b/>
      <w:bCs/>
      <w:color w:val="000000"/>
      <w:sz w:val="24"/>
      <w:szCs w:val="24"/>
      <w:u w:val="none"/>
    </w:rPr>
  </w:style>
  <w:style w:type="character" w:customStyle="1" w:styleId="8">
    <w:name w:val="font41"/>
    <w:basedOn w:val="6"/>
    <w:qFormat/>
    <w:uiPriority w:val="0"/>
    <w:rPr>
      <w:rFonts w:hint="eastAsia" w:ascii="仿宋_GB2312" w:eastAsia="仿宋_GB2312" w:cs="仿宋_GB2312"/>
      <w:color w:val="000000"/>
      <w:sz w:val="24"/>
      <w:szCs w:val="24"/>
      <w:u w:val="none"/>
    </w:rPr>
  </w:style>
  <w:style w:type="character" w:customStyle="1" w:styleId="9">
    <w:name w:val="font11"/>
    <w:basedOn w:val="6"/>
    <w:qFormat/>
    <w:uiPriority w:val="0"/>
    <w:rPr>
      <w:rFonts w:hint="eastAsia" w:ascii="仿宋_GB2312" w:eastAsia="仿宋_GB2312" w:cs="仿宋_GB2312"/>
      <w:color w:val="FF0000"/>
      <w:sz w:val="24"/>
      <w:szCs w:val="24"/>
      <w:u w:val="none"/>
    </w:rPr>
  </w:style>
  <w:style w:type="character" w:customStyle="1" w:styleId="10">
    <w:name w:val="font101"/>
    <w:basedOn w:val="6"/>
    <w:qFormat/>
    <w:uiPriority w:val="0"/>
    <w:rPr>
      <w:rFonts w:hint="eastAsia" w:ascii="仿宋_GB2312" w:eastAsia="仿宋_GB2312" w:cs="仿宋_GB2312"/>
      <w:b/>
      <w:bCs/>
      <w:color w:val="FF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1116</Words>
  <Characters>1155</Characters>
  <Lines>0</Lines>
  <Paragraphs>0</Paragraphs>
  <TotalTime>0</TotalTime>
  <ScaleCrop>false</ScaleCrop>
  <LinksUpToDate>false</LinksUpToDate>
  <CharactersWithSpaces>0</CharactersWithSpaces>
  <Application>WPS Office_12.8.2.19825_F1E327BC-269C-435d-A152-05C5408002CA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2022-12-12T18:52:00Z</dcterms:created>
  <dc:creator>zzxsfj06</dc:creator>
  <cp:lastModifiedBy>HUAWEI</cp:lastModifiedBy>
  <dcterms:modified xsi:type="dcterms:W3CDTF">2026-02-28T16:35:44Z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2052-12.8.2.19825</vt:lpwstr>
  </property>
  <property fmtid="{D5CDD505-2E9C-101B-9397-08002B2CF9AE}" pid="3" name="ICV">
    <vt:lpwstr>59831B013EEB44AB80B8A10102F97E1C_13</vt:lpwstr>
  </property>
  <property fmtid="{D5CDD505-2E9C-101B-9397-08002B2CF9AE}" pid="4" name="KSOTemplateDocerSaveRecord">
    <vt:lpwstr>eyJoZGlkIjoiNjY1NWQ1NGMwMjUwN2VjNzk3NWFlMDFiNjA3NDYxM2QiLCJ1c2VySWQiOiIzMjc2ODg3ODIifQ==</vt:lpwstr>
  </property>
</Properties>
</file>